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8A0C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大标宋简体" w:hAnsi="方正大标宋简体" w:eastAsia="方正大标宋简体" w:cs="方正大标宋简体"/>
          <w:b w:val="0"/>
          <w:bCs w:val="0"/>
          <w:i w:val="0"/>
          <w:iCs w:val="0"/>
          <w:caps w:val="0"/>
          <w:color w:val="0F1115"/>
          <w:spacing w:val="0"/>
          <w:sz w:val="44"/>
          <w:szCs w:val="44"/>
        </w:rPr>
      </w:pPr>
      <w:r>
        <w:rPr>
          <w:rStyle w:val="8"/>
          <w:rFonts w:hint="eastAsia" w:ascii="方正大标宋简体" w:hAnsi="方正大标宋简体" w:eastAsia="方正大标宋简体" w:cs="方正大标宋简体"/>
          <w:b w:val="0"/>
          <w:bCs w:val="0"/>
          <w:i w:val="0"/>
          <w:iCs w:val="0"/>
          <w:caps w:val="0"/>
          <w:color w:val="0F1115"/>
          <w:spacing w:val="0"/>
          <w:sz w:val="44"/>
          <w:szCs w:val="44"/>
          <w:shd w:val="clear" w:fill="FFFFFF"/>
        </w:rPr>
        <w:t>区政数局2025年政府信息公开工作年度报告</w:t>
      </w:r>
    </w:p>
    <w:p w14:paraId="42D743C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黑体" w:hAnsi="黑体" w:eastAsia="黑体" w:cs="黑体"/>
          <w:b w:val="0"/>
          <w:bCs w:val="0"/>
          <w:i w:val="0"/>
          <w:iCs w:val="0"/>
          <w:caps w:val="0"/>
          <w:color w:val="0F1115"/>
          <w:spacing w:val="0"/>
          <w:sz w:val="32"/>
          <w:szCs w:val="32"/>
        </w:rPr>
      </w:pPr>
      <w:r>
        <w:rPr>
          <w:rStyle w:val="8"/>
          <w:rFonts w:hint="eastAsia" w:ascii="黑体" w:hAnsi="黑体" w:eastAsia="黑体" w:cs="黑体"/>
          <w:b w:val="0"/>
          <w:bCs w:val="0"/>
          <w:i w:val="0"/>
          <w:iCs w:val="0"/>
          <w:caps w:val="0"/>
          <w:color w:val="0F1115"/>
          <w:spacing w:val="0"/>
          <w:sz w:val="32"/>
          <w:szCs w:val="32"/>
          <w:shd w:val="clear" w:fill="FFFFFF"/>
        </w:rPr>
        <w:t>一、总体情况</w:t>
      </w:r>
    </w:p>
    <w:p w14:paraId="08285A1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shd w:val="clear" w:fill="FFFFFF"/>
        </w:rPr>
      </w:pPr>
      <w:r>
        <w:rPr>
          <w:rFonts w:hint="eastAsia" w:ascii="方正仿宋_GB2312" w:hAnsi="方正仿宋_GB2312" w:eastAsia="方正仿宋_GB2312" w:cs="方正仿宋_GB2312"/>
          <w:i w:val="0"/>
          <w:iCs w:val="0"/>
          <w:caps w:val="0"/>
          <w:color w:val="0F1115"/>
          <w:spacing w:val="0"/>
          <w:sz w:val="32"/>
          <w:szCs w:val="32"/>
          <w:shd w:val="clear" w:fill="FFFFFF"/>
        </w:rPr>
        <w:t>根据《中华人民共和国政府信息公开条例》要求，特向社会公布202</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0F1115"/>
          <w:spacing w:val="0"/>
          <w:sz w:val="32"/>
          <w:szCs w:val="32"/>
          <w:shd w:val="clear" w:fill="FFFFFF"/>
        </w:rPr>
        <w:t>年度由西塞山区政数局编制的政府信息公开年度报告。全文包括政府信息主动公开情况</w:t>
      </w:r>
      <w:r>
        <w:rPr>
          <w:rFonts w:hint="eastAsia" w:ascii="方正仿宋_GB2312" w:hAnsi="方正仿宋_GB2312" w:eastAsia="方正仿宋_GB2312" w:cs="方正仿宋_GB2312"/>
          <w:i w:val="0"/>
          <w:iCs w:val="0"/>
          <w:caps w:val="0"/>
          <w:color w:val="0F1115"/>
          <w:spacing w:val="0"/>
          <w:sz w:val="32"/>
          <w:szCs w:val="32"/>
          <w:shd w:val="clear" w:fill="FFFFFF"/>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rPr>
        <w:t>政府信息依申请公开情况</w:t>
      </w:r>
      <w:r>
        <w:rPr>
          <w:rFonts w:hint="eastAsia" w:ascii="方正仿宋_GB2312" w:hAnsi="方正仿宋_GB2312" w:eastAsia="方正仿宋_GB2312" w:cs="方正仿宋_GB2312"/>
          <w:i w:val="0"/>
          <w:iCs w:val="0"/>
          <w:caps w:val="0"/>
          <w:color w:val="0F1115"/>
          <w:spacing w:val="0"/>
          <w:sz w:val="32"/>
          <w:szCs w:val="32"/>
          <w:shd w:val="clear" w:fill="FFFFFF"/>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rPr>
        <w:t>政府信息管理情况</w:t>
      </w:r>
      <w:r>
        <w:rPr>
          <w:rFonts w:hint="eastAsia" w:ascii="方正仿宋_GB2312" w:hAnsi="方正仿宋_GB2312" w:eastAsia="方正仿宋_GB2312" w:cs="方正仿宋_GB2312"/>
          <w:i w:val="0"/>
          <w:iCs w:val="0"/>
          <w:caps w:val="0"/>
          <w:color w:val="0F1115"/>
          <w:spacing w:val="0"/>
          <w:sz w:val="32"/>
          <w:szCs w:val="32"/>
          <w:shd w:val="clear" w:fill="FFFFFF"/>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rPr>
        <w:t>政府信息公开平台建设情况</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以及监督保障情况</w:t>
      </w:r>
      <w:r>
        <w:rPr>
          <w:rFonts w:hint="eastAsia" w:ascii="方正仿宋_GB2312" w:hAnsi="方正仿宋_GB2312" w:eastAsia="方正仿宋_GB2312" w:cs="方正仿宋_GB2312"/>
          <w:i w:val="0"/>
          <w:iCs w:val="0"/>
          <w:caps w:val="0"/>
          <w:color w:val="0F1115"/>
          <w:spacing w:val="0"/>
          <w:sz w:val="32"/>
          <w:szCs w:val="32"/>
          <w:shd w:val="clear" w:fill="FFFFFF"/>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rPr>
        <w:t>本报告中所列数据的统计期限自202</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0F1115"/>
          <w:spacing w:val="0"/>
          <w:sz w:val="32"/>
          <w:szCs w:val="32"/>
          <w:shd w:val="clear" w:fill="FFFFFF"/>
        </w:rPr>
        <w:t>年1月1日起至202</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0F1115"/>
          <w:spacing w:val="0"/>
          <w:sz w:val="32"/>
          <w:szCs w:val="32"/>
          <w:shd w:val="clear" w:fill="FFFFFF"/>
        </w:rPr>
        <w:t>年12月31日止。</w:t>
      </w:r>
    </w:p>
    <w:p w14:paraId="48B573AF">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Style w:val="8"/>
          <w:rFonts w:hint="eastAsia" w:ascii="方正仿宋_GB2312" w:hAnsi="方正仿宋_GB2312" w:eastAsia="方正仿宋_GB2312" w:cs="方正仿宋_GB2312"/>
          <w:b/>
          <w:bCs/>
          <w:i w:val="0"/>
          <w:iCs w:val="0"/>
          <w:caps w:val="0"/>
          <w:color w:val="0F1115"/>
          <w:spacing w:val="0"/>
          <w:sz w:val="32"/>
          <w:szCs w:val="32"/>
          <w:shd w:val="clear" w:fill="FFFFFF"/>
        </w:rPr>
      </w:pPr>
      <w:r>
        <w:rPr>
          <w:rStyle w:val="8"/>
          <w:rFonts w:hint="eastAsia" w:ascii="方正仿宋_GB2312" w:hAnsi="方正仿宋_GB2312" w:eastAsia="方正仿宋_GB2312" w:cs="方正仿宋_GB2312"/>
          <w:b/>
          <w:bCs/>
          <w:i w:val="0"/>
          <w:iCs w:val="0"/>
          <w:caps w:val="0"/>
          <w:color w:val="0F1115"/>
          <w:spacing w:val="0"/>
          <w:sz w:val="32"/>
          <w:szCs w:val="32"/>
          <w:shd w:val="clear" w:fill="FFFFFF"/>
        </w:rPr>
        <w:t>政府信息主动公开情况。</w:t>
      </w:r>
    </w:p>
    <w:p w14:paraId="68DB79EC">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我局</w:t>
      </w:r>
      <w:r>
        <w:rPr>
          <w:rFonts w:hint="eastAsia" w:ascii="方正仿宋_GB2312" w:hAnsi="方正仿宋_GB2312" w:eastAsia="方正仿宋_GB2312" w:cs="方正仿宋_GB2312"/>
          <w:i w:val="0"/>
          <w:iCs w:val="0"/>
          <w:caps w:val="0"/>
          <w:color w:val="0F1115"/>
          <w:spacing w:val="0"/>
          <w:sz w:val="32"/>
          <w:szCs w:val="32"/>
          <w:shd w:val="clear" w:fill="FFFFFF"/>
        </w:rPr>
        <w:t>持续深化主动公开内容，围绕区委区政府中心工作及公众关切，常态化负责全区各部门政务信息挂网工作</w:t>
      </w:r>
      <w:r>
        <w:rPr>
          <w:rFonts w:hint="eastAsia" w:ascii="方正仿宋_GB2312" w:hAnsi="方正仿宋_GB2312" w:eastAsia="方正仿宋_GB2312" w:cs="方正仿宋_GB2312"/>
          <w:i w:val="0"/>
          <w:iCs w:val="0"/>
          <w:caps w:val="0"/>
          <w:color w:val="0F1115"/>
          <w:spacing w:val="0"/>
          <w:sz w:val="32"/>
          <w:szCs w:val="32"/>
          <w:shd w:val="clear" w:fill="FFFFFF"/>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rPr>
        <w:t>优化信息发布流程，确保信息及时、准确、规范公开。全年通过区政府门户网站等平台主动公开政府信息共计</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303</w:t>
      </w:r>
      <w:r>
        <w:rPr>
          <w:rFonts w:hint="eastAsia" w:ascii="方正仿宋_GB2312" w:hAnsi="方正仿宋_GB2312" w:eastAsia="方正仿宋_GB2312" w:cs="方正仿宋_GB2312"/>
          <w:i w:val="0"/>
          <w:iCs w:val="0"/>
          <w:caps w:val="0"/>
          <w:color w:val="0F1115"/>
          <w:spacing w:val="0"/>
          <w:sz w:val="32"/>
          <w:szCs w:val="32"/>
          <w:shd w:val="clear" w:fill="FFFFFF"/>
        </w:rPr>
        <w:t>条。</w:t>
      </w:r>
    </w:p>
    <w:p w14:paraId="4C1A635F">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Style w:val="8"/>
          <w:rFonts w:hint="eastAsia" w:ascii="方正仿宋_GB2312" w:hAnsi="方正仿宋_GB2312" w:eastAsia="方正仿宋_GB2312" w:cs="方正仿宋_GB2312"/>
          <w:b/>
          <w:bCs/>
          <w:i w:val="0"/>
          <w:iCs w:val="0"/>
          <w:caps w:val="0"/>
          <w:color w:val="0F1115"/>
          <w:spacing w:val="0"/>
          <w:sz w:val="32"/>
          <w:szCs w:val="32"/>
          <w:shd w:val="clear" w:fill="FFFFFF"/>
        </w:rPr>
      </w:pPr>
      <w:r>
        <w:rPr>
          <w:rStyle w:val="8"/>
          <w:rFonts w:hint="eastAsia" w:ascii="方正仿宋_GB2312" w:hAnsi="方正仿宋_GB2312" w:eastAsia="方正仿宋_GB2312" w:cs="方正仿宋_GB2312"/>
          <w:b/>
          <w:bCs/>
          <w:i w:val="0"/>
          <w:iCs w:val="0"/>
          <w:caps w:val="0"/>
          <w:color w:val="0F1115"/>
          <w:spacing w:val="0"/>
          <w:sz w:val="32"/>
          <w:szCs w:val="32"/>
          <w:shd w:val="clear" w:fill="FFFFFF"/>
        </w:rPr>
        <w:t>政府信息依申请公开情况。</w:t>
      </w:r>
    </w:p>
    <w:p w14:paraId="31EBA094">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rPr>
      </w:pPr>
      <w:r>
        <w:rPr>
          <w:rFonts w:hint="eastAsia" w:ascii="方正仿宋_GB2312" w:hAnsi="方正仿宋_GB2312" w:eastAsia="方正仿宋_GB2312" w:cs="方正仿宋_GB2312"/>
          <w:i w:val="0"/>
          <w:iCs w:val="0"/>
          <w:caps w:val="0"/>
          <w:color w:val="0F1115"/>
          <w:spacing w:val="0"/>
          <w:sz w:val="32"/>
          <w:szCs w:val="32"/>
          <w:shd w:val="clear" w:fill="FFFFFF"/>
        </w:rPr>
        <w:t>2025年度，我局未收到群众政府信息公开申请</w:t>
      </w:r>
    </w:p>
    <w:p w14:paraId="17F67988">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Style w:val="8"/>
          <w:rFonts w:hint="eastAsia" w:ascii="方正仿宋_GB2312" w:hAnsi="方正仿宋_GB2312" w:eastAsia="方正仿宋_GB2312" w:cs="方正仿宋_GB2312"/>
          <w:b/>
          <w:bCs/>
          <w:i w:val="0"/>
          <w:iCs w:val="0"/>
          <w:caps w:val="0"/>
          <w:color w:val="0F1115"/>
          <w:spacing w:val="0"/>
          <w:sz w:val="32"/>
          <w:szCs w:val="32"/>
          <w:shd w:val="clear" w:fill="FFFFFF"/>
        </w:rPr>
      </w:pPr>
      <w:r>
        <w:rPr>
          <w:rStyle w:val="8"/>
          <w:rFonts w:hint="eastAsia" w:ascii="方正仿宋_GB2312" w:hAnsi="方正仿宋_GB2312" w:eastAsia="方正仿宋_GB2312" w:cs="方正仿宋_GB2312"/>
          <w:b/>
          <w:bCs/>
          <w:i w:val="0"/>
          <w:iCs w:val="0"/>
          <w:caps w:val="0"/>
          <w:color w:val="0F1115"/>
          <w:spacing w:val="0"/>
          <w:sz w:val="32"/>
          <w:szCs w:val="32"/>
          <w:shd w:val="clear" w:fill="FFFFFF"/>
        </w:rPr>
        <w:t>政府信息管理情况。</w:t>
      </w:r>
    </w:p>
    <w:p w14:paraId="14DEB1F8">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我局严格执行</w:t>
      </w:r>
      <w:r>
        <w:rPr>
          <w:rFonts w:hint="eastAsia" w:ascii="方正仿宋_GB2312" w:hAnsi="方正仿宋_GB2312" w:eastAsia="方正仿宋_GB2312" w:cs="方正仿宋_GB2312"/>
          <w:i w:val="0"/>
          <w:iCs w:val="0"/>
          <w:caps w:val="0"/>
          <w:color w:val="0F1115"/>
          <w:spacing w:val="0"/>
          <w:sz w:val="32"/>
          <w:szCs w:val="32"/>
          <w:shd w:val="clear" w:fill="FFFFFF"/>
        </w:rPr>
        <w:t>政府信息管理制度，加强信息源头管理。定期对公开信息进行核查更新，确保信息准确有效。持续推进政务公开标准化规范化建设。</w:t>
      </w:r>
    </w:p>
    <w:p w14:paraId="09CDAEAC">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Style w:val="8"/>
          <w:rFonts w:hint="eastAsia" w:ascii="方正仿宋_GB2312" w:hAnsi="方正仿宋_GB2312" w:eastAsia="方正仿宋_GB2312" w:cs="方正仿宋_GB2312"/>
          <w:b/>
          <w:bCs/>
          <w:i w:val="0"/>
          <w:iCs w:val="0"/>
          <w:caps w:val="0"/>
          <w:color w:val="0F1115"/>
          <w:spacing w:val="0"/>
          <w:sz w:val="32"/>
          <w:szCs w:val="32"/>
          <w:shd w:val="clear" w:fill="FFFFFF"/>
        </w:rPr>
      </w:pPr>
      <w:r>
        <w:rPr>
          <w:rStyle w:val="8"/>
          <w:rFonts w:hint="eastAsia" w:ascii="方正仿宋_GB2312" w:hAnsi="方正仿宋_GB2312" w:eastAsia="方正仿宋_GB2312" w:cs="方正仿宋_GB2312"/>
          <w:b/>
          <w:bCs/>
          <w:i w:val="0"/>
          <w:iCs w:val="0"/>
          <w:caps w:val="0"/>
          <w:color w:val="0F1115"/>
          <w:spacing w:val="0"/>
          <w:sz w:val="32"/>
          <w:szCs w:val="32"/>
          <w:shd w:val="clear" w:fill="FFFFFF"/>
        </w:rPr>
        <w:t>政府信息公开平台建设情况。</w:t>
      </w:r>
    </w:p>
    <w:p w14:paraId="5733DB56">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rPr>
      </w:pPr>
      <w:r>
        <w:rPr>
          <w:rFonts w:hint="eastAsia" w:ascii="方正仿宋_GB2312" w:hAnsi="方正仿宋_GB2312" w:eastAsia="方正仿宋_GB2312" w:cs="方正仿宋_GB2312"/>
          <w:i w:val="0"/>
          <w:iCs w:val="0"/>
          <w:caps w:val="0"/>
          <w:color w:val="0F1115"/>
          <w:spacing w:val="0"/>
          <w:sz w:val="32"/>
          <w:szCs w:val="32"/>
          <w:shd w:val="clear" w:fill="FFFFFF"/>
        </w:rPr>
        <w:t>持续优化区政府门户网站政务公开栏目设置与功能，提升用户体验。维护好政务服务中心政务公开专区，为群众提供便利的信息查阅服务。</w:t>
      </w:r>
    </w:p>
    <w:p w14:paraId="1195CB41">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Style w:val="8"/>
          <w:rFonts w:hint="eastAsia" w:ascii="方正仿宋_GB2312" w:hAnsi="方正仿宋_GB2312" w:eastAsia="方正仿宋_GB2312" w:cs="方正仿宋_GB2312"/>
          <w:b/>
          <w:bCs/>
          <w:i w:val="0"/>
          <w:iCs w:val="0"/>
          <w:caps w:val="0"/>
          <w:color w:val="0F1115"/>
          <w:spacing w:val="0"/>
          <w:sz w:val="32"/>
          <w:szCs w:val="32"/>
          <w:shd w:val="clear" w:fill="FFFFFF"/>
        </w:rPr>
      </w:pPr>
      <w:r>
        <w:rPr>
          <w:rStyle w:val="8"/>
          <w:rFonts w:hint="eastAsia" w:ascii="方正仿宋_GB2312" w:hAnsi="方正仿宋_GB2312" w:eastAsia="方正仿宋_GB2312" w:cs="方正仿宋_GB2312"/>
          <w:b/>
          <w:bCs/>
          <w:i w:val="0"/>
          <w:iCs w:val="0"/>
          <w:caps w:val="0"/>
          <w:color w:val="0F1115"/>
          <w:spacing w:val="0"/>
          <w:sz w:val="32"/>
          <w:szCs w:val="32"/>
          <w:shd w:val="clear" w:fill="FFFFFF"/>
        </w:rPr>
        <w:t>监督保障情况。</w:t>
      </w:r>
    </w:p>
    <w:p w14:paraId="5B36F08D">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rPr>
      </w:pPr>
      <w:r>
        <w:rPr>
          <w:rFonts w:hint="eastAsia" w:ascii="方正仿宋_GB2312" w:hAnsi="方正仿宋_GB2312" w:eastAsia="方正仿宋_GB2312" w:cs="方正仿宋_GB2312"/>
          <w:i w:val="0"/>
          <w:iCs w:val="0"/>
          <w:caps w:val="0"/>
          <w:color w:val="0F1115"/>
          <w:spacing w:val="0"/>
          <w:sz w:val="32"/>
          <w:szCs w:val="32"/>
          <w:shd w:val="clear" w:fill="FFFFFF"/>
        </w:rPr>
        <w:t>我局严格依据《中华人民共和国政府信息公开条例》等规定，将监督保障贯穿政务公开全过程。对拟公开信息进行全覆盖错敏词、涉密及个人隐私筛查</w:t>
      </w:r>
      <w:r>
        <w:rPr>
          <w:rFonts w:hint="eastAsia" w:ascii="方正仿宋_GB2312" w:hAnsi="方正仿宋_GB2312" w:eastAsia="方正仿宋_GB2312" w:cs="方正仿宋_GB2312"/>
          <w:i w:val="0"/>
          <w:iCs w:val="0"/>
          <w:caps w:val="0"/>
          <w:color w:val="0F1115"/>
          <w:spacing w:val="0"/>
          <w:sz w:val="32"/>
          <w:szCs w:val="32"/>
          <w:shd w:val="clear" w:fill="FFFFFF"/>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rPr>
        <w:t>全年未发生重大负面舆情或责任追究事件。</w:t>
      </w:r>
    </w:p>
    <w:p w14:paraId="0310ADF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105"/>
        <w:gridCol w:w="2105"/>
        <w:gridCol w:w="2105"/>
        <w:gridCol w:w="2105"/>
      </w:tblGrid>
      <w:tr w14:paraId="6A0A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FCD8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6C65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CC2F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17DDFA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FFFFFF" w:themeFill="background1"/>
            <w:tcMar>
              <w:left w:w="57" w:type="dxa"/>
              <w:right w:w="57" w:type="dxa"/>
            </w:tcMar>
            <w:vAlign w:val="center"/>
          </w:tcPr>
          <w:p w14:paraId="42710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061B1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5B6E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15D8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18A66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14:paraId="3F97EE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4D34F2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2"/>
                <w:sz w:val="21"/>
                <w:szCs w:val="21"/>
                <w:lang w:val="en-US" w:eastAsia="zh-CN" w:bidi="ar"/>
              </w:rPr>
              <w:t>0</w:t>
            </w:r>
          </w:p>
        </w:tc>
      </w:tr>
      <w:tr w14:paraId="49BB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3E84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27C08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14:paraId="32B8B9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5D3C85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bookmarkStart w:id="0" w:name="_GoBack"/>
            <w:bookmarkEnd w:id="0"/>
          </w:p>
        </w:tc>
      </w:tr>
      <w:tr w14:paraId="537B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7D3E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7E5F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14:paraId="674E3F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3B1F4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7FB1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14:paraId="658904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70848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eastAsiaTheme="min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6212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82D7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32DD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C0D8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5AD62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3102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D1BA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12759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w:t>
            </w:r>
          </w:p>
        </w:tc>
      </w:tr>
      <w:tr w14:paraId="69EF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14:paraId="5D288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4" w:space="0"/>
              <w:right w:val="single" w:color="auto" w:sz="8" w:space="0"/>
            </w:tcBorders>
            <w:shd w:val="clear" w:color="auto" w:fill="FFFFFF" w:themeFill="background1"/>
            <w:tcMar>
              <w:left w:w="57" w:type="dxa"/>
              <w:right w:w="57" w:type="dxa"/>
            </w:tcMar>
            <w:vAlign w:val="center"/>
          </w:tcPr>
          <w:p w14:paraId="20944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0</w:t>
            </w:r>
          </w:p>
        </w:tc>
      </w:tr>
      <w:tr w14:paraId="56A0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2DE3B8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4FE4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5EBE1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2160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413A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735D6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04EB228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3D81552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tbl>
      <w:tblPr>
        <w:tblStyle w:val="6"/>
        <w:tblW w:w="4942"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43"/>
        <w:gridCol w:w="789"/>
        <w:gridCol w:w="2817"/>
        <w:gridCol w:w="586"/>
        <w:gridCol w:w="586"/>
        <w:gridCol w:w="586"/>
        <w:gridCol w:w="586"/>
        <w:gridCol w:w="586"/>
        <w:gridCol w:w="600"/>
        <w:gridCol w:w="594"/>
      </w:tblGrid>
      <w:tr w14:paraId="45E953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2537" w:type="pct"/>
            <w:gridSpan w:val="3"/>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EE32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rPr>
            </w:pPr>
            <w:r>
              <w:rPr>
                <w:rFonts w:hint="eastAsia" w:ascii="楷体" w:hAnsi="楷体" w:eastAsia="楷体" w:cs="楷体"/>
                <w:color w:val="auto"/>
                <w:kern w:val="0"/>
                <w:sz w:val="24"/>
                <w:szCs w:val="24"/>
                <w:lang w:val="en-US" w:eastAsia="zh-CN" w:bidi="ar"/>
              </w:rPr>
              <w:t>（本列数据的勾稽关系为：第一项加第二项之和，等于第三项加第四项之和）</w:t>
            </w:r>
          </w:p>
        </w:tc>
        <w:tc>
          <w:tcPr>
            <w:tcW w:w="246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68B56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08FB0D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53A253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406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C59F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054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36153E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DEA86A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CBB2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DDCB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7520B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6ED0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34250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10CB4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5071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61121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4C02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14:paraId="0ED2E9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1CE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395D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C1FA4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5CD13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7C29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53FAE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11AE1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31C53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2E88E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A5C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4271C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BE3F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8E71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161F5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AD09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75964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01C78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4ACB23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BA3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52C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085AE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294F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FC80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148C8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46A67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330F7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45458D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1F3A81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5B30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AF5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1BB46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2AF5A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48D391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57F8D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4774E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45BEC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5D512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45465A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8966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9ACD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0C831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B3CE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C9CF6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69A0B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0BA81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101E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1BBD52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28BA2E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7305C5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86D4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D773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750B8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8E44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116094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64370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302CC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299E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71865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7C8B7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516E33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FE25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F75D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1C14A9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7C689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87D82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FED1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586C6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4CDE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29B138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1C19D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3F596E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FB6E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B5F55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033F3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67210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1EC7B5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04B630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A644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09E6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6BE0C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7815D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6214D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C940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2DDA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57F26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0EF84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3F942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A33E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B528B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27466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45972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66F3BA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28ED62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6FA5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D4B1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188263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04D2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1A8F4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B36A3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DBE7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F32D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31D15B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3970C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063BAB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FE63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3527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721BFA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7C48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1B9EF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F982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24D37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0BE39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164FB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42F03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0C143A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DDEC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8A73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053527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66774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24FC3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77D29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60B710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46BA9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3B8F0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027C0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204A1A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06F9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190F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771A9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261CA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270C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1381A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66EFC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F865F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0CA55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551764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594E7C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021C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6FED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4809A2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6942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FF99F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2ADA9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C023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04F53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613B0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4C001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2CC4E3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E592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83E5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0E03E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139C5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2C4B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179E3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D070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4D2E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583A9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156E1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57819D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95C2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215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7C5092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6DE8F6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1A8E2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E875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5FB7E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B784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7802E0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1F9B5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0E688A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C87A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FFFD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7D6320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E1EC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6FEFD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36C6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0322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2ACFB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4B7F7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73F0C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680BEC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A0EB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56DD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78BF9B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78067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1DC3D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3C42E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683AB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top"/>
          </w:tcPr>
          <w:p w14:paraId="47F754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top"/>
          </w:tcPr>
          <w:p w14:paraId="64AAEF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top"/>
          </w:tcPr>
          <w:p w14:paraId="14B69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2ECEA8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B641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3433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top"/>
          </w:tcPr>
          <w:p w14:paraId="40CB85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48216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4A82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1CFB2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B0CD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420B7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33C14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4029C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1F41C0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FB86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953C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center"/>
          </w:tcPr>
          <w:p w14:paraId="25F63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57C689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16AC40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4F9C9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3515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31DD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44121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61E43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60C7A5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2218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B4A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81" w:type="pct"/>
            <w:tcBorders>
              <w:top w:val="single" w:color="auto" w:sz="4" w:space="0"/>
              <w:left w:val="single" w:color="auto" w:sz="4" w:space="0"/>
              <w:bottom w:val="single" w:color="auto" w:sz="4" w:space="0"/>
              <w:right w:val="single" w:color="auto" w:sz="4" w:space="0"/>
            </w:tcBorders>
            <w:shd w:val="clear" w:color="auto" w:fill="auto"/>
            <w:vAlign w:val="center"/>
          </w:tcPr>
          <w:p w14:paraId="18019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98B8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66E252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87D4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C14C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1F8E5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63F1D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27894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2C7252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8BDF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5C7F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center"/>
          </w:tcPr>
          <w:p w14:paraId="7B033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69AB9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4B7011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1982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242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B179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61C0E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74F3EC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271C73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D888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2F8E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center"/>
          </w:tcPr>
          <w:p w14:paraId="7DA79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196145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5F8EC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657A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48EA83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4B1C9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2E8A1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6D9F2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304A77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2FE3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DB8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52EA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989E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B686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508F8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8B17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129EF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356A4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113C44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879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7C66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17707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3DF3F8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E359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5D3DF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55BC1E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2A252B6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467163C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4"/>
        <w:gridCol w:w="564"/>
        <w:gridCol w:w="564"/>
        <w:gridCol w:w="564"/>
        <w:gridCol w:w="579"/>
        <w:gridCol w:w="564"/>
        <w:gridCol w:w="564"/>
        <w:gridCol w:w="566"/>
        <w:gridCol w:w="566"/>
        <w:gridCol w:w="578"/>
        <w:gridCol w:w="566"/>
        <w:gridCol w:w="566"/>
        <w:gridCol w:w="567"/>
        <w:gridCol w:w="567"/>
        <w:gridCol w:w="580"/>
      </w:tblGrid>
      <w:tr w14:paraId="283B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F69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9DDF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14:paraId="53DE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14:paraId="6A8BA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14:paraId="051021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64DF1B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A5C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47A6E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122D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66D2A3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0E4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8DF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E8BB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14:paraId="74C3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14:paraId="5F022FA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14:paraId="1143792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485C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A1FF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5C63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19EA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249C7B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CE938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0F38A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5DA6C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1BC33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9B3A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7E902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FBA60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055FA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6EE7C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D19E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33B998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0C44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0BAD4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D092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247A8A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5557A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14:paraId="3DBB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2C3A9C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5CE1FA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69D7DEE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4E4C3D4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2DCD75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64C177E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B0092D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55396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7C112B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03C97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6FEF6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8ED6D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8EBCDF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3269C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5AFD96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1F1BFF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14:paraId="3A2706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存在问题：一是对全区各部门政务公开工作的日常指导与规范性检查的频次和深度有待加强；二是政策解读的传播效果和公众获得感仍需进一步提升。</w:t>
      </w:r>
    </w:p>
    <w:p w14:paraId="5894AB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改进措施： 2026年，我局将进一步完善常态化指导检查机制，定期开展标准符合性抽查。同时，探索利用简明问答、案例说明、图表动画等更直观形式进行政策解读，并跟踪解读效果，切实提升政策透明度与影响力。</w:t>
      </w:r>
    </w:p>
    <w:p w14:paraId="684089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14:paraId="3B6E550A">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本年未收取信息处理费。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B94C03-867B-43F9-857E-F34A857147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2" w:fontKey="{785DBB19-3848-40E5-9B4E-54D5C2BD1463}"/>
  </w:font>
  <w:font w:name="方正仿宋_GB2312">
    <w:panose1 w:val="02000000000000000000"/>
    <w:charset w:val="86"/>
    <w:family w:val="auto"/>
    <w:pitch w:val="default"/>
    <w:sig w:usb0="A00002BF" w:usb1="184F6CFA" w:usb2="00000012" w:usb3="00000000" w:csb0="00040001" w:csb1="00000000"/>
    <w:embedRegular r:id="rId3" w:fontKey="{EE9DE305-54BD-4C1E-8365-0405C742B92D}"/>
  </w:font>
  <w:font w:name="楷体">
    <w:panose1 w:val="02010609060101010101"/>
    <w:charset w:val="86"/>
    <w:family w:val="auto"/>
    <w:pitch w:val="default"/>
    <w:sig w:usb0="800002BF" w:usb1="38CF7CFA" w:usb2="00000016" w:usb3="00000000" w:csb0="00040001" w:csb1="00000000"/>
    <w:embedRegular r:id="rId4" w:fontKey="{1D56D5A6-3322-423C-A9BF-15388B8A710E}"/>
  </w:font>
  <w:font w:name="仿宋_GB2312">
    <w:panose1 w:val="02010609030101010101"/>
    <w:charset w:val="86"/>
    <w:family w:val="auto"/>
    <w:pitch w:val="default"/>
    <w:sig w:usb0="00000001" w:usb1="080E0000" w:usb2="00000000" w:usb3="00000000" w:csb0="00040000" w:csb1="00000000"/>
    <w:embedRegular r:id="rId5" w:fontKey="{813D4D46-B2D7-4923-B24F-DB127DAA749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1CCC0"/>
    <w:multiLevelType w:val="singleLevel"/>
    <w:tmpl w:val="4FE1CC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6219A"/>
    <w:rsid w:val="208D6676"/>
    <w:rsid w:val="2286219A"/>
    <w:rsid w:val="34932C1B"/>
    <w:rsid w:val="5D2E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ascii="Arial" w:hAnsi="Arial" w:eastAsia="方正小标宋简体" w:cs="Arial"/>
      <w:snapToGrid w:val="0"/>
      <w:color w:val="000000"/>
      <w:kern w:val="44"/>
      <w:sz w:val="44"/>
      <w:szCs w:val="21"/>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763</Words>
  <Characters>782</Characters>
  <Lines>0</Lines>
  <Paragraphs>0</Paragraphs>
  <TotalTime>9</TotalTime>
  <ScaleCrop>false</ScaleCrop>
  <LinksUpToDate>false</LinksUpToDate>
  <CharactersWithSpaces>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2026-01-16T08:37:00Z</dcterms:created>
  <dc:creator>cff</dc:creator>
  <cp:lastModifiedBy>cff</cp:lastModifiedBy>
  <dcterms:modified xsi:type="dcterms:W3CDTF">2026-02-10T08:51:25Z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F39C202D51154594AABB6165C8F890FE_11</vt:lpwstr>
  </property>
  <property fmtid="{D5CDD505-2E9C-101B-9397-08002B2CF9AE}" pid="4" name="KSOTemplateDocerSaveRecord">
    <vt:lpwstr>eyJoZGlkIjoiM2Y5MDFmZTI5Y2QxMDEyMTUxNGU3YWQ4N2U3ZWRmZjYiLCJ1c2VySWQiOiI0OTM5MjExMzMifQ==</vt:lpwstr>
  </property>
</Properties>
</file>