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0"/>
        <w:rPr>
          <w:rFonts w:hint="eastAsia" w:ascii="宋体" w:hAnsi="宋体" w:cs="宋体"/>
          <w:b/>
          <w:bCs/>
          <w:kern w:val="36"/>
          <w:sz w:val="44"/>
          <w:szCs w:val="44"/>
        </w:rPr>
      </w:pPr>
      <w:r>
        <w:rPr>
          <w:rFonts w:hint="eastAsia" w:ascii="宋体" w:hAnsi="宋体" w:cs="宋体"/>
          <w:b/>
          <w:bCs/>
          <w:kern w:val="36"/>
          <w:sz w:val="44"/>
          <w:szCs w:val="44"/>
        </w:rPr>
        <w:t>西塞山区</w:t>
      </w:r>
      <w:r>
        <w:rPr>
          <w:rFonts w:ascii="宋体" w:hAnsi="宋体" w:cs="宋体"/>
          <w:b/>
          <w:bCs/>
          <w:kern w:val="36"/>
          <w:sz w:val="44"/>
          <w:szCs w:val="44"/>
        </w:rPr>
        <w:t xml:space="preserve">文化和旅游局政府信息公开工作 </w:t>
      </w:r>
    </w:p>
    <w:p>
      <w:pPr>
        <w:widowControl/>
        <w:shd w:val="clear" w:color="auto" w:fill="FFFFFF"/>
        <w:spacing w:line="600" w:lineRule="atLeast"/>
        <w:jc w:val="center"/>
        <w:outlineLvl w:val="0"/>
        <w:rPr>
          <w:rFonts w:ascii="宋体" w:hAnsi="宋体" w:cs="宋体"/>
          <w:b/>
          <w:bCs/>
          <w:kern w:val="36"/>
          <w:sz w:val="44"/>
          <w:szCs w:val="44"/>
        </w:rPr>
      </w:pPr>
      <w:r>
        <w:rPr>
          <w:rFonts w:hint="eastAsia" w:ascii="宋体" w:hAnsi="宋体" w:cs="宋体"/>
          <w:b/>
          <w:bCs/>
          <w:kern w:val="36"/>
          <w:sz w:val="44"/>
          <w:szCs w:val="44"/>
        </w:rPr>
        <w:t>2020</w:t>
      </w:r>
      <w:r>
        <w:rPr>
          <w:rFonts w:ascii="宋体" w:hAnsi="宋体" w:cs="宋体"/>
          <w:b/>
          <w:bCs/>
          <w:kern w:val="36"/>
          <w:sz w:val="44"/>
          <w:szCs w:val="44"/>
        </w:rPr>
        <w:t>年度报告</w:t>
      </w:r>
    </w:p>
    <w:p>
      <w:pPr>
        <w:rPr>
          <w:rFonts w:hint="eastAsia" w:ascii="仿宋_GB2312" w:eastAsia="仿宋_GB2312"/>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一、总体情况</w:t>
      </w:r>
      <w:r>
        <w:rPr>
          <w:rFonts w:hint="eastAsia" w:eastAsia="黑体"/>
          <w:sz w:val="32"/>
          <w:szCs w:val="32"/>
        </w:rPr>
        <w:t> </w:t>
      </w:r>
    </w:p>
    <w:p>
      <w:pPr>
        <w:ind w:firstLine="640" w:firstLineChars="200"/>
        <w:rPr>
          <w:rFonts w:hint="eastAsia" w:ascii="仿宋_GB2312" w:eastAsia="仿宋_GB2312"/>
          <w:sz w:val="32"/>
          <w:szCs w:val="32"/>
        </w:rPr>
      </w:pPr>
      <w:r>
        <w:rPr>
          <w:rFonts w:hint="eastAsia" w:ascii="仿宋_GB2312" w:eastAsia="仿宋_GB2312"/>
          <w:sz w:val="32"/>
          <w:szCs w:val="32"/>
        </w:rPr>
        <w:t>根据《中华人民共和国政府信息公开条例》和</w:t>
      </w:r>
      <w:r>
        <w:rPr>
          <w:rFonts w:hint="eastAsia" w:ascii="仿宋_GB2312" w:hAnsi="仿宋_GB2312" w:eastAsia="仿宋_GB2312" w:cs="仿宋_GB2312"/>
          <w:sz w:val="32"/>
          <w:szCs w:val="32"/>
        </w:rPr>
        <w:t>《关于做好</w:t>
      </w:r>
      <w:r>
        <w:rPr>
          <w:rFonts w:hint="eastAsia" w:ascii="仿宋_GB2312" w:eastAsia="仿宋_GB2312"/>
          <w:sz w:val="32"/>
          <w:szCs w:val="32"/>
        </w:rPr>
        <w:t>2020年政府信息公开工作年度报告编制和发布工作的通知》的文件要求，现公布我局2020年度政府信息公开工作年度报告。2020年全区文旅工作始终坚持以习近平新时代中国特色社会主义思想为指导,全面落实中、省、市、区有关决策部署和政府信息公开条例，坚持以公开为常态，围绕文化、旅游重点工作和群众关心事项，将政务公开工作与业务工作统筹安排、统一部署、同步推进，不断完善制度机制，进一步推进决策、执行、管理、服务、结果公开，加强政策解读，增强文化、体育、文物、旅游信息公开工作的主动性、实效性，西塞山区文旅局认真贯彻执行各项政府信息公开规定，主动公开机构及职能信息、预决算公开、单位工作动态，及时更新办事服务事项指南，方便群众网上办事。</w:t>
      </w:r>
    </w:p>
    <w:p>
      <w:pPr>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二、主动公开政府信息情况</w:t>
      </w:r>
    </w:p>
    <w:tbl>
      <w:tblPr>
        <w:tblStyle w:val="3"/>
        <w:tblW w:w="0" w:type="auto"/>
        <w:jc w:val="center"/>
        <w:tblLayout w:type="fixed"/>
        <w:tblCellMar>
          <w:top w:w="0" w:type="dxa"/>
          <w:left w:w="108" w:type="dxa"/>
          <w:bottom w:w="0" w:type="dxa"/>
          <w:right w:w="108" w:type="dxa"/>
        </w:tblCellMar>
      </w:tblPr>
      <w:tblGrid>
        <w:gridCol w:w="3919"/>
        <w:gridCol w:w="2097"/>
        <w:gridCol w:w="1290"/>
        <w:gridCol w:w="1640"/>
      </w:tblGrid>
      <w:tr>
        <w:tblPrEx>
          <w:tblCellMar>
            <w:top w:w="0" w:type="dxa"/>
            <w:left w:w="108" w:type="dxa"/>
            <w:bottom w:w="0" w:type="dxa"/>
            <w:right w:w="108" w:type="dxa"/>
          </w:tblCellMar>
        </w:tblPrEx>
        <w:trPr>
          <w:trHeight w:val="495" w:hRule="atLeast"/>
          <w:jc w:val="center"/>
        </w:trPr>
        <w:tc>
          <w:tcPr>
            <w:tcW w:w="8946"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第二十条第（一）项</w:t>
            </w:r>
          </w:p>
        </w:tc>
      </w:tr>
      <w:tr>
        <w:tblPrEx>
          <w:tblCellMar>
            <w:top w:w="0" w:type="dxa"/>
            <w:left w:w="108" w:type="dxa"/>
            <w:bottom w:w="0" w:type="dxa"/>
            <w:right w:w="108" w:type="dxa"/>
          </w:tblCellMar>
        </w:tblPrEx>
        <w:trPr>
          <w:trHeight w:val="882"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本年新</w:t>
            </w:r>
          </w:p>
          <w:p>
            <w:pPr>
              <w:widowControl/>
              <w:adjustRightInd w:val="0"/>
              <w:snapToGrid w:val="0"/>
              <w:jc w:val="center"/>
              <w:rPr>
                <w:rFonts w:ascii="宋体" w:hAnsi="宋体" w:cs="宋体"/>
                <w:kern w:val="0"/>
                <w:szCs w:val="21"/>
              </w:rPr>
            </w:pPr>
            <w:r>
              <w:rPr>
                <w:rFonts w:ascii="宋体" w:hAnsi="宋体" w:cs="宋体"/>
                <w:kern w:val="0"/>
                <w:szCs w:val="21"/>
              </w:rPr>
              <w:t>制作数量</w:t>
            </w:r>
          </w:p>
        </w:tc>
        <w:tc>
          <w:tcPr>
            <w:tcW w:w="12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本年新</w:t>
            </w:r>
          </w:p>
          <w:p>
            <w:pPr>
              <w:widowControl/>
              <w:adjustRightInd w:val="0"/>
              <w:snapToGrid w:val="0"/>
              <w:jc w:val="center"/>
              <w:rPr>
                <w:rFonts w:ascii="宋体" w:hAnsi="宋体" w:cs="宋体"/>
                <w:kern w:val="0"/>
                <w:szCs w:val="21"/>
              </w:rPr>
            </w:pPr>
            <w:r>
              <w:rPr>
                <w:rFonts w:ascii="宋体" w:hAnsi="宋体" w:cs="宋体"/>
                <w:kern w:val="0"/>
                <w:szCs w:val="21"/>
              </w:rPr>
              <w:t>公开数量</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对外公开总数量</w:t>
            </w:r>
          </w:p>
        </w:tc>
      </w:tr>
      <w:tr>
        <w:tblPrEx>
          <w:tblCellMar>
            <w:top w:w="0" w:type="dxa"/>
            <w:left w:w="108" w:type="dxa"/>
            <w:bottom w:w="0" w:type="dxa"/>
            <w:right w:w="108" w:type="dxa"/>
          </w:tblCellMar>
        </w:tblPrEx>
        <w:trPr>
          <w:trHeight w:val="90"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规章（设区的市、自治州人民政府应提供相关数据）</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2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471"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kern w:val="0"/>
                <w:szCs w:val="21"/>
              </w:rPr>
              <w:t>规范性文件（行政机关制定发布的决定、公告、通告、意见、通知，以及标题采用“规定”“办法”“细则”“规范”“规程”“规则”等字样的公文，一般情况下属于规范性文件）</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1</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1</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471"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kern w:val="0"/>
                <w:szCs w:val="21"/>
              </w:rPr>
              <w:t>其他主动公开文件（含以本单位或本单位办公室名义正式签发的、除规范性文件以外的主动公开文件，可参考本单位政府信息公开平台“其他主动公开文件”栏目数据）</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480" w:hRule="atLeast"/>
          <w:jc w:val="center"/>
        </w:trPr>
        <w:tc>
          <w:tcPr>
            <w:tcW w:w="8946"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第二十条第（五）项</w:t>
            </w:r>
          </w:p>
        </w:tc>
      </w:tr>
      <w:tr>
        <w:tblPrEx>
          <w:tblCellMar>
            <w:top w:w="0" w:type="dxa"/>
            <w:left w:w="108" w:type="dxa"/>
            <w:bottom w:w="0" w:type="dxa"/>
            <w:right w:w="108" w:type="dxa"/>
          </w:tblCellMar>
        </w:tblPrEx>
        <w:trPr>
          <w:trHeight w:val="634"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上一年项目数量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（指2019年事项数）</w:t>
            </w:r>
          </w:p>
        </w:tc>
        <w:tc>
          <w:tcPr>
            <w:tcW w:w="12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本年增/减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（指2020年增加或减少的事项数，减用负值表示，如-8）</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处理决定数量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（指2020年办件量）</w:t>
            </w:r>
          </w:p>
        </w:tc>
      </w:tr>
      <w:tr>
        <w:tblPrEx>
          <w:tblCellMar>
            <w:top w:w="0" w:type="dxa"/>
            <w:left w:w="108" w:type="dxa"/>
            <w:bottom w:w="0" w:type="dxa"/>
            <w:right w:w="108" w:type="dxa"/>
          </w:tblCellMar>
        </w:tblPrEx>
        <w:trPr>
          <w:trHeight w:val="528"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行政许可</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54</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550"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其他对外管理服务事项（指行政许可以外的政务服务事项，含行政确认、行政奖励、行政裁决、行政给付、行政处罚、行政强制、行政检查、行政征收和其他类，以及公共服务事项）</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48</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406" w:hRule="atLeast"/>
          <w:jc w:val="center"/>
        </w:trPr>
        <w:tc>
          <w:tcPr>
            <w:tcW w:w="8946"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第二十条第（六）项</w:t>
            </w:r>
          </w:p>
        </w:tc>
      </w:tr>
      <w:tr>
        <w:tblPrEx>
          <w:tblCellMar>
            <w:top w:w="0" w:type="dxa"/>
            <w:left w:w="108" w:type="dxa"/>
            <w:bottom w:w="0" w:type="dxa"/>
            <w:right w:w="108" w:type="dxa"/>
          </w:tblCellMar>
        </w:tblPrEx>
        <w:trPr>
          <w:trHeight w:val="634" w:hRule="atLeast"/>
          <w:jc w:val="center"/>
        </w:trPr>
        <w:tc>
          <w:tcPr>
            <w:tcW w:w="39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信息内容</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上一年项目数量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（指2019年事项数）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本年增/减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（指2020年增加或减少的事项数，减用负值表示，如-8）</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处理决定数量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（指2020年办件量）</w:t>
            </w:r>
          </w:p>
        </w:tc>
      </w:tr>
      <w:tr>
        <w:tblPrEx>
          <w:tblCellMar>
            <w:top w:w="0" w:type="dxa"/>
            <w:left w:w="108" w:type="dxa"/>
            <w:bottom w:w="0" w:type="dxa"/>
            <w:right w:w="108" w:type="dxa"/>
          </w:tblCellMar>
        </w:tblPrEx>
        <w:trPr>
          <w:trHeight w:val="430" w:hRule="atLeast"/>
          <w:jc w:val="center"/>
        </w:trPr>
        <w:tc>
          <w:tcPr>
            <w:tcW w:w="39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行政处罚</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409" w:hRule="atLeast"/>
          <w:jc w:val="center"/>
        </w:trPr>
        <w:tc>
          <w:tcPr>
            <w:tcW w:w="39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行政强制</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474" w:hRule="atLeast"/>
          <w:jc w:val="center"/>
        </w:trPr>
        <w:tc>
          <w:tcPr>
            <w:tcW w:w="8946"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第二十条第（八）项</w:t>
            </w:r>
          </w:p>
        </w:tc>
      </w:tr>
      <w:tr>
        <w:tblPrEx>
          <w:tblCellMar>
            <w:top w:w="0" w:type="dxa"/>
            <w:left w:w="108" w:type="dxa"/>
            <w:bottom w:w="0" w:type="dxa"/>
            <w:right w:w="108" w:type="dxa"/>
          </w:tblCellMar>
        </w:tblPrEx>
        <w:trPr>
          <w:trHeight w:val="270" w:hRule="atLeast"/>
          <w:jc w:val="center"/>
        </w:trPr>
        <w:tc>
          <w:tcPr>
            <w:tcW w:w="39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kern w:val="0"/>
                <w:szCs w:val="21"/>
              </w:rPr>
              <w:t>上一年项目数量</w:t>
            </w:r>
          </w:p>
          <w:p>
            <w:pPr>
              <w:widowControl/>
              <w:adjustRightInd w:val="0"/>
              <w:snapToGrid w:val="0"/>
              <w:jc w:val="left"/>
              <w:rPr>
                <w:rFonts w:hint="eastAsia" w:ascii="宋体" w:hAnsi="宋体" w:cs="宋体"/>
                <w:kern w:val="0"/>
                <w:szCs w:val="21"/>
              </w:rPr>
            </w:pPr>
            <w:r>
              <w:rPr>
                <w:rFonts w:hint="eastAsia" w:ascii="宋体" w:hAnsi="宋体" w:cs="宋体"/>
                <w:kern w:val="0"/>
                <w:szCs w:val="21"/>
              </w:rPr>
              <w:t>（指2019年收费项目数）</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本年增/减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（指2020年增加的收费项目数，减用负值表示，如-8）</w:t>
            </w:r>
          </w:p>
        </w:tc>
      </w:tr>
      <w:tr>
        <w:tblPrEx>
          <w:tblCellMar>
            <w:top w:w="0" w:type="dxa"/>
            <w:left w:w="108" w:type="dxa"/>
            <w:bottom w:w="0" w:type="dxa"/>
            <w:right w:w="108" w:type="dxa"/>
          </w:tblCellMar>
        </w:tblPrEx>
        <w:trPr>
          <w:trHeight w:val="551"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行政事业性收费</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476" w:hRule="atLeast"/>
          <w:jc w:val="center"/>
        </w:trPr>
        <w:tc>
          <w:tcPr>
            <w:tcW w:w="8946"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第二十条第（九）项</w:t>
            </w:r>
          </w:p>
        </w:tc>
      </w:tr>
      <w:tr>
        <w:tblPrEx>
          <w:tblCellMar>
            <w:top w:w="0" w:type="dxa"/>
            <w:left w:w="108" w:type="dxa"/>
            <w:bottom w:w="0" w:type="dxa"/>
            <w:right w:w="108" w:type="dxa"/>
          </w:tblCellMar>
        </w:tblPrEx>
        <w:trPr>
          <w:trHeight w:val="585"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信息内容</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采购项目数量</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（指2020年以政府集中采购方式采购的项目总个数）</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采购总金额</w:t>
            </w:r>
          </w:p>
          <w:p>
            <w:pPr>
              <w:widowControl/>
              <w:adjustRightInd w:val="0"/>
              <w:snapToGrid w:val="0"/>
              <w:jc w:val="center"/>
              <w:rPr>
                <w:rFonts w:hint="eastAsia" w:ascii="宋体" w:hAnsi="宋体" w:cs="宋体"/>
                <w:kern w:val="0"/>
                <w:szCs w:val="21"/>
              </w:rPr>
            </w:pPr>
            <w:r>
              <w:rPr>
                <w:rFonts w:hint="eastAsia" w:ascii="宋体" w:hAnsi="宋体" w:cs="宋体"/>
                <w:kern w:val="0"/>
                <w:szCs w:val="21"/>
              </w:rPr>
              <w:t>（指2020年以政府集中采购方式采购的项目已支付的总金额）</w:t>
            </w:r>
          </w:p>
        </w:tc>
      </w:tr>
      <w:tr>
        <w:tblPrEx>
          <w:tblCellMar>
            <w:top w:w="0" w:type="dxa"/>
            <w:left w:w="108" w:type="dxa"/>
            <w:bottom w:w="0" w:type="dxa"/>
            <w:right w:w="108" w:type="dxa"/>
          </w:tblCellMar>
        </w:tblPrEx>
        <w:trPr>
          <w:trHeight w:val="539" w:hRule="atLeast"/>
          <w:jc w:val="center"/>
        </w:trPr>
        <w:tc>
          <w:tcPr>
            <w:tcW w:w="391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政府集中采购</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1</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347.5594万</w:t>
            </w:r>
          </w:p>
        </w:tc>
      </w:tr>
    </w:tbl>
    <w:p>
      <w:pPr>
        <w:adjustRightInd w:val="0"/>
        <w:snapToGrid w:val="0"/>
        <w:spacing w:line="360" w:lineRule="auto"/>
        <w:ind w:firstLine="640" w:firstLineChars="200"/>
        <w:rPr>
          <w:rFonts w:hint="eastAsia" w:ascii="黑体" w:hAnsi="黑体" w:eastAsia="黑体" w:cs="黑体"/>
          <w:sz w:val="32"/>
          <w:szCs w:val="32"/>
        </w:rPr>
      </w:pP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三、行政机关收到和处理政府信息公开申请情况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22"/>
        <w:gridCol w:w="2212"/>
        <w:gridCol w:w="607"/>
        <w:gridCol w:w="690"/>
        <w:gridCol w:w="690"/>
        <w:gridCol w:w="750"/>
        <w:gridCol w:w="905"/>
        <w:gridCol w:w="67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9"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（本列数据的勾稽关系为：第一项加第二项之和，等于第三项加第四项之和）</w:t>
            </w:r>
          </w:p>
        </w:tc>
        <w:tc>
          <w:tcPr>
            <w:tcW w:w="4970" w:type="dxa"/>
            <w:gridSpan w:val="7"/>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607" w:type="dxa"/>
            <w:vMerge w:val="restart"/>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自然人</w:t>
            </w:r>
          </w:p>
        </w:tc>
        <w:tc>
          <w:tcPr>
            <w:tcW w:w="3706"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法人或其他组织</w:t>
            </w:r>
          </w:p>
        </w:tc>
        <w:tc>
          <w:tcPr>
            <w:tcW w:w="657"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607"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商业企业</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科研机构</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社会公益组织</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法律服务机构</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其他</w:t>
            </w:r>
          </w:p>
        </w:tc>
        <w:tc>
          <w:tcPr>
            <w:tcW w:w="65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9"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一、本年新收政府信息公开申请数量</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9"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二、上年结转政府信息公开申请数量</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szCs w:val="21"/>
              </w:rPr>
              <w:t>三、本年度办理结果</w:t>
            </w:r>
          </w:p>
        </w:tc>
        <w:tc>
          <w:tcPr>
            <w:tcW w:w="293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（一）予以公开</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93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（二）部分公开（区分处理的，只计这一情形，不计其他情形）</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restart"/>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（三）不予公开</w:t>
            </w: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restart"/>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（四）无法提供</w:t>
            </w: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restart"/>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（五）不予处理</w:t>
            </w: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21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93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（六）其他处理</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p>
        </w:tc>
        <w:tc>
          <w:tcPr>
            <w:tcW w:w="293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（七）总计</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9"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kern w:val="0"/>
                <w:szCs w:val="21"/>
              </w:rPr>
            </w:pPr>
            <w:r>
              <w:rPr>
                <w:rFonts w:hint="eastAsia" w:ascii="宋体" w:hAnsi="宋体" w:cs="宋体"/>
                <w:szCs w:val="21"/>
              </w:rPr>
              <w:t>四、结转下年度继续办理</w:t>
            </w:r>
          </w:p>
        </w:tc>
        <w:tc>
          <w:tcPr>
            <w:tcW w:w="6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kern w:val="0"/>
                <w:szCs w:val="21"/>
              </w:rPr>
            </w:pPr>
            <w:r>
              <w:rPr>
                <w:rFonts w:hint="eastAsia" w:ascii="宋体" w:hAnsi="宋体" w:cs="宋体"/>
                <w:kern w:val="0"/>
                <w:szCs w:val="21"/>
              </w:rPr>
              <w:t>0</w:t>
            </w:r>
          </w:p>
        </w:tc>
      </w:tr>
    </w:tbl>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四、因政府信息公开工作被申请行政复议、提起行政诉讼情况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4"/>
        <w:gridCol w:w="564"/>
        <w:gridCol w:w="564"/>
        <w:gridCol w:w="625"/>
        <w:gridCol w:w="515"/>
        <w:gridCol w:w="567"/>
        <w:gridCol w:w="567"/>
        <w:gridCol w:w="567"/>
        <w:gridCol w:w="574"/>
        <w:gridCol w:w="567"/>
        <w:gridCol w:w="568"/>
        <w:gridCol w:w="568"/>
        <w:gridCol w:w="56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行政复议</w:t>
            </w:r>
          </w:p>
        </w:tc>
        <w:tc>
          <w:tcPr>
            <w:tcW w:w="5638" w:type="dxa"/>
            <w:gridSpan w:val="10"/>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结果维持</w:t>
            </w:r>
          </w:p>
        </w:tc>
        <w:tc>
          <w:tcPr>
            <w:tcW w:w="564" w:type="dxa"/>
            <w:vMerge w:val="restart"/>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结果纠正</w:t>
            </w:r>
          </w:p>
        </w:tc>
        <w:tc>
          <w:tcPr>
            <w:tcW w:w="564"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其他结果</w:t>
            </w:r>
          </w:p>
        </w:tc>
        <w:tc>
          <w:tcPr>
            <w:tcW w:w="564"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尚未审结</w:t>
            </w:r>
          </w:p>
        </w:tc>
        <w:tc>
          <w:tcPr>
            <w:tcW w:w="625"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总计</w:t>
            </w:r>
          </w:p>
        </w:tc>
        <w:tc>
          <w:tcPr>
            <w:tcW w:w="2790"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未经复议直接起诉</w:t>
            </w:r>
          </w:p>
        </w:tc>
        <w:tc>
          <w:tcPr>
            <w:tcW w:w="2848"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kern w:val="0"/>
                <w:sz w:val="24"/>
                <w:szCs w:val="24"/>
              </w:rPr>
            </w:pPr>
          </w:p>
        </w:tc>
        <w:tc>
          <w:tcPr>
            <w:tcW w:w="564"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 w:val="24"/>
                <w:szCs w:val="24"/>
              </w:rPr>
            </w:pPr>
          </w:p>
        </w:tc>
        <w:tc>
          <w:tcPr>
            <w:tcW w:w="625"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 w:val="24"/>
                <w:szCs w:val="24"/>
              </w:rPr>
            </w:pPr>
          </w:p>
        </w:tc>
        <w:tc>
          <w:tcPr>
            <w:tcW w:w="51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结果维持</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结果纠正</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其他结果</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尚未审结</w:t>
            </w:r>
          </w:p>
        </w:tc>
        <w:tc>
          <w:tcPr>
            <w:tcW w:w="57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0"/>
                <w:szCs w:val="20"/>
              </w:rPr>
              <w:t>总计</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结果维持</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结果纠正</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0"/>
                <w:szCs w:val="20"/>
              </w:rPr>
              <w:t>其他结果</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sz w:val="20"/>
                <w:szCs w:val="20"/>
              </w:rPr>
              <w:t>尚未审结</w:t>
            </w:r>
          </w:p>
        </w:tc>
        <w:tc>
          <w:tcPr>
            <w:tcW w:w="5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1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7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0</w:t>
            </w:r>
          </w:p>
        </w:tc>
        <w:tc>
          <w:tcPr>
            <w:tcW w:w="5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kern w:val="0"/>
                <w:szCs w:val="21"/>
              </w:rPr>
            </w:pPr>
            <w:r>
              <w:rPr>
                <w:rFonts w:hint="eastAsia" w:ascii="宋体" w:hAnsi="宋体" w:cs="宋体"/>
                <w:kern w:val="0"/>
                <w:szCs w:val="21"/>
              </w:rPr>
              <w:t>0</w:t>
            </w:r>
          </w:p>
        </w:tc>
      </w:tr>
    </w:tbl>
    <w:p>
      <w:pPr>
        <w:adjustRightInd w:val="0"/>
        <w:snapToGrid w:val="0"/>
        <w:spacing w:line="360" w:lineRule="auto"/>
        <w:ind w:firstLine="640" w:firstLineChars="200"/>
        <w:rPr>
          <w:rFonts w:ascii="黑体" w:hAnsi="黑体" w:eastAsia="黑体" w:cs="黑体"/>
          <w:sz w:val="32"/>
          <w:szCs w:val="32"/>
        </w:rPr>
      </w:pPr>
    </w:p>
    <w:p>
      <w:pPr>
        <w:adjustRightInd w:val="0"/>
        <w:snapToGrid w:val="0"/>
        <w:spacing w:line="360" w:lineRule="auto"/>
        <w:ind w:firstLine="640" w:firstLineChars="200"/>
        <w:rPr>
          <w:rFonts w:hint="eastAsia"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五、政府信息公开工作存在的问题及改进情况</w:t>
      </w:r>
    </w:p>
    <w:p>
      <w:pPr>
        <w:pStyle w:val="2"/>
        <w:shd w:val="clear" w:color="auto" w:fill="FFFFFF"/>
        <w:spacing w:before="0" w:beforeAutospacing="0" w:after="0" w:afterAutospacing="0"/>
        <w:ind w:firstLine="640" w:firstLineChars="200"/>
        <w:jc w:val="both"/>
        <w:rPr>
          <w:rFonts w:hint="eastAsia" w:ascii="仿宋_GB2312" w:eastAsia="仿宋_GB2312"/>
          <w:sz w:val="32"/>
          <w:szCs w:val="32"/>
        </w:rPr>
      </w:pPr>
      <w:r>
        <w:rPr>
          <w:rFonts w:hint="eastAsia" w:ascii="仿宋_GB2312" w:eastAsia="仿宋_GB2312"/>
          <w:sz w:val="32"/>
          <w:szCs w:val="32"/>
        </w:rPr>
        <w:t>虽然政务公开工作按《条例》要求稳步推进，但还存在一些难点和不足，主要表现在：一是我局今年第一次接触政府信息公开工作，虽然工作人员参加了培训，但对公开的信息内容和操作流程有待进一步提高；二是由于政务公开涉及面广、政策性强，政府信息公开的工作机制仍需进一步健全完善，信息公开的时效性有待进一步提高；三是信息公开的形式还不够丰富，公开的格式上还不够完全统一。</w:t>
      </w:r>
    </w:p>
    <w:p>
      <w:pPr>
        <w:pStyle w:val="2"/>
        <w:shd w:val="clear" w:color="auto" w:fill="FFFFFF"/>
        <w:spacing w:before="0" w:beforeAutospacing="0" w:after="0" w:afterAutospacing="0"/>
        <w:ind w:firstLine="640" w:firstLineChars="200"/>
        <w:jc w:val="both"/>
        <w:rPr>
          <w:rFonts w:hint="eastAsia" w:ascii="仿宋_GB2312" w:eastAsia="仿宋_GB2312"/>
          <w:sz w:val="32"/>
          <w:szCs w:val="32"/>
        </w:rPr>
      </w:pPr>
      <w:r>
        <w:rPr>
          <w:rFonts w:hint="eastAsia" w:ascii="仿宋_GB2312" w:eastAsia="仿宋_GB2312"/>
          <w:sz w:val="32"/>
          <w:szCs w:val="32"/>
        </w:rPr>
        <w:t>我局将进一步加强政务信息工作的业务学习，熟悉操作流程和要求增强信息公开的主动性，及时更新政务信息，提高信息公开的数量和质量；努力提高工作实效，创新工作思路和工作方法，力争信息公开的形式多样化、公开的内容具体化、公开的时间及时化。</w:t>
      </w:r>
    </w:p>
    <w:p>
      <w:pPr>
        <w:pStyle w:val="2"/>
        <w:shd w:val="clear" w:color="auto" w:fill="FFFFFF"/>
        <w:spacing w:before="0" w:beforeAutospacing="0" w:after="0" w:afterAutospacing="0"/>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六、其他需要报告的事项</w:t>
      </w:r>
    </w:p>
    <w:p>
      <w:pPr>
        <w:pStyle w:val="2"/>
        <w:shd w:val="clear" w:color="auto" w:fill="FFFFFF"/>
        <w:spacing w:before="0" w:beforeAutospacing="0" w:after="0" w:afterAutospacing="0"/>
        <w:ind w:firstLine="640" w:firstLineChars="200"/>
        <w:jc w:val="both"/>
        <w:rPr>
          <w:rFonts w:hint="eastAsia" w:ascii="仿宋_GB2312" w:eastAsia="仿宋_GB2312"/>
          <w:sz w:val="32"/>
          <w:szCs w:val="32"/>
        </w:rPr>
      </w:pPr>
      <w:r>
        <w:rPr>
          <w:rFonts w:hint="eastAsia" w:ascii="仿宋_GB2312" w:eastAsia="仿宋_GB2312"/>
          <w:sz w:val="32"/>
          <w:szCs w:val="32"/>
        </w:rPr>
        <w:t>无其他需要报告的事项。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920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2021-01-25T10:25:23Z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