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B868F">
      <w:pPr>
        <w:widowControl/>
        <w:jc w:val="center"/>
        <w:rPr>
          <w:rFonts w:ascii="Times New Roman" w:eastAsia="方正小标宋简体"/>
          <w:sz w:val="72"/>
          <w:szCs w:val="72"/>
        </w:rPr>
      </w:pPr>
      <w:bookmarkStart w:id="13" w:name="_GoBack"/>
      <w:bookmarkEnd w:id="13"/>
    </w:p>
    <w:p w14:paraId="2BA608E6">
      <w:pPr>
        <w:widowControl/>
        <w:jc w:val="center"/>
        <w:rPr>
          <w:rFonts w:ascii="Times New Roman" w:eastAsia="方正小标宋简体"/>
          <w:sz w:val="72"/>
          <w:szCs w:val="72"/>
        </w:rPr>
      </w:pPr>
      <w:r>
        <w:rPr>
          <w:rFonts w:hint="eastAsia" w:ascii="Times New Roman" w:eastAsia="方正小标宋简体"/>
          <w:sz w:val="72"/>
          <w:szCs w:val="72"/>
        </w:rPr>
        <w:t>部门整体支出绩效</w:t>
      </w:r>
      <w:r>
        <w:rPr>
          <w:rFonts w:ascii="Times New Roman" w:eastAsia="方正小标宋简体"/>
          <w:sz w:val="72"/>
          <w:szCs w:val="72"/>
        </w:rPr>
        <w:t>评价报告</w:t>
      </w:r>
    </w:p>
    <w:p w14:paraId="2731700A">
      <w:pPr>
        <w:widowControl/>
        <w:jc w:val="center"/>
        <w:rPr>
          <w:rFonts w:ascii="Times New Roman" w:eastAsia="方正小标宋简体"/>
          <w:sz w:val="44"/>
          <w:szCs w:val="44"/>
        </w:rPr>
      </w:pPr>
    </w:p>
    <w:p w14:paraId="4D722498">
      <w:pPr>
        <w:jc w:val="left"/>
        <w:rPr>
          <w:rFonts w:ascii="Times New Roman"/>
          <w:szCs w:val="32"/>
        </w:rPr>
      </w:pPr>
    </w:p>
    <w:p w14:paraId="2EF2BC41">
      <w:pPr>
        <w:ind w:left="1575" w:right="-227" w:rightChars="-72" w:hanging="1580" w:hangingChars="500"/>
        <w:rPr>
          <w:rFonts w:ascii="Times New Roman"/>
          <w:szCs w:val="32"/>
          <w:u w:val="single"/>
        </w:rPr>
      </w:pPr>
      <w:r>
        <w:rPr>
          <w:rFonts w:ascii="Times New Roman"/>
          <w:szCs w:val="32"/>
        </w:rPr>
        <w:t>报告名称：</w:t>
      </w:r>
      <w:r>
        <w:rPr>
          <w:rFonts w:hint="eastAsia" w:ascii="Times New Roman"/>
          <w:szCs w:val="32"/>
          <w:u w:val="single"/>
        </w:rPr>
        <w:t>黄石市西塞山区卫生健康局部门整体支出绩效评价报告</w:t>
      </w:r>
    </w:p>
    <w:p w14:paraId="312CC5B5">
      <w:pPr>
        <w:rPr>
          <w:rFonts w:ascii="Times New Roman"/>
          <w:szCs w:val="32"/>
          <w:u w:val="single"/>
        </w:rPr>
      </w:pPr>
      <w:r>
        <w:rPr>
          <w:rFonts w:ascii="Times New Roman"/>
          <w:szCs w:val="32"/>
        </w:rPr>
        <w:t>预算部门（单位）：</w:t>
      </w:r>
      <w:r>
        <w:rPr>
          <w:rFonts w:hint="eastAsia" w:ascii="Times New Roman"/>
          <w:szCs w:val="32"/>
          <w:u w:val="single"/>
        </w:rPr>
        <w:t>黄石市西塞山区卫生健康局</w:t>
      </w:r>
      <w:r>
        <w:rPr>
          <w:rFonts w:ascii="Times New Roman"/>
          <w:szCs w:val="32"/>
          <w:u w:val="single"/>
        </w:rPr>
        <w:t xml:space="preserve">                      </w:t>
      </w:r>
    </w:p>
    <w:p w14:paraId="1DA97E28">
      <w:pPr>
        <w:rPr>
          <w:rFonts w:ascii="Times New Roman"/>
          <w:szCs w:val="32"/>
        </w:rPr>
      </w:pPr>
      <w:r>
        <w:rPr>
          <w:rFonts w:ascii="Times New Roman"/>
          <w:szCs w:val="32"/>
        </w:rPr>
        <w:t>预算年度：</w:t>
      </w:r>
      <w:r>
        <w:rPr>
          <w:rFonts w:ascii="Times New Roman"/>
          <w:szCs w:val="32"/>
          <w:u w:val="single"/>
        </w:rPr>
        <w:t>202</w:t>
      </w:r>
      <w:r>
        <w:rPr>
          <w:rFonts w:hint="eastAsia" w:ascii="Times New Roman"/>
          <w:szCs w:val="32"/>
          <w:u w:val="single"/>
        </w:rPr>
        <w:t>2</w:t>
      </w:r>
      <w:r>
        <w:rPr>
          <w:rFonts w:ascii="Times New Roman"/>
          <w:szCs w:val="32"/>
          <w:u w:val="single"/>
        </w:rPr>
        <w:t xml:space="preserve">年度                                      </w:t>
      </w:r>
    </w:p>
    <w:p w14:paraId="0A59905D">
      <w:pPr>
        <w:jc w:val="left"/>
        <w:rPr>
          <w:rFonts w:ascii="Times New Roman"/>
          <w:szCs w:val="32"/>
        </w:rPr>
      </w:pPr>
      <w:r>
        <w:rPr>
          <w:rFonts w:ascii="Times New Roman"/>
          <w:szCs w:val="32"/>
        </w:rPr>
        <w:t>评价类型：项目</w:t>
      </w:r>
      <w:r>
        <w:rPr>
          <w:rFonts w:ascii="Times New Roman"/>
          <w:szCs w:val="32"/>
        </w:rPr>
        <w:sym w:font="Wingdings 2" w:char="00A3"/>
      </w:r>
      <w:r>
        <w:rPr>
          <w:rFonts w:ascii="Times New Roman"/>
          <w:szCs w:val="32"/>
        </w:rPr>
        <w:t xml:space="preserve">       政策□        部门整体</w:t>
      </w:r>
      <w:r>
        <w:rPr>
          <w:rFonts w:hint="eastAsia" w:ascii="Times New Roman"/>
          <w:szCs w:val="32"/>
        </w:rPr>
        <w:t>☑</w:t>
      </w:r>
    </w:p>
    <w:p w14:paraId="2903EC5F">
      <w:pPr>
        <w:jc w:val="left"/>
        <w:rPr>
          <w:rFonts w:ascii="Times New Roman"/>
          <w:szCs w:val="32"/>
        </w:rPr>
      </w:pPr>
    </w:p>
    <w:p w14:paraId="168FAEEA">
      <w:pPr>
        <w:rPr>
          <w:rFonts w:ascii="Times New Roman"/>
          <w:szCs w:val="32"/>
          <w:u w:val="single"/>
        </w:rPr>
      </w:pPr>
      <w:r>
        <w:rPr>
          <w:rFonts w:ascii="Times New Roman"/>
          <w:szCs w:val="32"/>
        </w:rPr>
        <w:t>评价单位：</w:t>
      </w:r>
      <w:r>
        <w:rPr>
          <w:rFonts w:hint="eastAsia" w:ascii="Times New Roman"/>
          <w:szCs w:val="32"/>
          <w:u w:val="single"/>
        </w:rPr>
        <w:t>中达致远房地产资产评估（武汉）有限公司</w:t>
      </w:r>
      <w:r>
        <w:rPr>
          <w:rFonts w:ascii="Times New Roman"/>
          <w:szCs w:val="32"/>
          <w:u w:val="single"/>
        </w:rPr>
        <w:t xml:space="preserve">        </w:t>
      </w:r>
    </w:p>
    <w:p w14:paraId="2135F58A">
      <w:pPr>
        <w:rPr>
          <w:rFonts w:ascii="Times New Roman"/>
          <w:szCs w:val="32"/>
        </w:rPr>
      </w:pPr>
      <w:r>
        <w:rPr>
          <w:rFonts w:ascii="Times New Roman"/>
          <w:szCs w:val="32"/>
        </w:rPr>
        <w:t>主评人1：</w:t>
      </w:r>
      <w:r>
        <w:rPr>
          <w:rFonts w:ascii="Times New Roman"/>
          <w:szCs w:val="32"/>
          <w:u w:val="single"/>
        </w:rPr>
        <w:t xml:space="preserve"> </w:t>
      </w:r>
      <w:r>
        <w:rPr>
          <w:rFonts w:hint="eastAsia" w:ascii="Times New Roman"/>
          <w:szCs w:val="32"/>
          <w:u w:val="single"/>
        </w:rPr>
        <w:t xml:space="preserve"> </w:t>
      </w:r>
      <w:r>
        <w:rPr>
          <w:rFonts w:ascii="Times New Roman"/>
          <w:szCs w:val="32"/>
          <w:u w:val="single"/>
        </w:rPr>
        <w:t xml:space="preserve">                                             </w:t>
      </w:r>
      <w:r>
        <w:rPr>
          <w:rFonts w:ascii="Times New Roman"/>
          <w:szCs w:val="32"/>
        </w:rPr>
        <w:t xml:space="preserve">                                  </w:t>
      </w:r>
    </w:p>
    <w:p w14:paraId="2E198141">
      <w:pPr>
        <w:rPr>
          <w:rFonts w:ascii="Times New Roman"/>
          <w:szCs w:val="32"/>
        </w:rPr>
      </w:pPr>
      <w:r>
        <w:rPr>
          <w:rFonts w:ascii="Times New Roman"/>
          <w:szCs w:val="32"/>
        </w:rPr>
        <w:t>主评人2：</w:t>
      </w:r>
      <w:r>
        <w:rPr>
          <w:rFonts w:ascii="Times New Roman"/>
          <w:szCs w:val="32"/>
          <w:u w:val="single"/>
        </w:rPr>
        <w:t xml:space="preserve"> </w:t>
      </w:r>
      <w:r>
        <w:rPr>
          <w:rFonts w:hint="eastAsia" w:ascii="Times New Roman"/>
          <w:szCs w:val="32"/>
          <w:u w:val="single"/>
        </w:rPr>
        <w:t xml:space="preserve"> </w:t>
      </w:r>
      <w:r>
        <w:rPr>
          <w:rFonts w:ascii="Times New Roman"/>
          <w:szCs w:val="32"/>
          <w:u w:val="single"/>
        </w:rPr>
        <w:t xml:space="preserve">                                             </w:t>
      </w:r>
      <w:r>
        <w:rPr>
          <w:rFonts w:ascii="Times New Roman"/>
          <w:szCs w:val="32"/>
        </w:rPr>
        <w:t xml:space="preserve"> </w:t>
      </w:r>
    </w:p>
    <w:p w14:paraId="23807774">
      <w:pPr>
        <w:rPr>
          <w:rFonts w:ascii="Times New Roman"/>
          <w:szCs w:val="32"/>
        </w:rPr>
      </w:pPr>
      <w:r>
        <w:rPr>
          <w:rFonts w:ascii="Times New Roman"/>
          <w:szCs w:val="32"/>
        </w:rPr>
        <w:t>正式提交日期：</w:t>
      </w:r>
      <w:r>
        <w:rPr>
          <w:rFonts w:ascii="Times New Roman"/>
          <w:szCs w:val="32"/>
          <w:u w:val="single"/>
        </w:rPr>
        <w:t xml:space="preserve"> 202</w:t>
      </w:r>
      <w:r>
        <w:rPr>
          <w:rFonts w:hint="eastAsia" w:ascii="Times New Roman"/>
          <w:szCs w:val="32"/>
          <w:u w:val="single"/>
        </w:rPr>
        <w:t>3</w:t>
      </w:r>
      <w:r>
        <w:rPr>
          <w:rFonts w:ascii="Times New Roman"/>
          <w:szCs w:val="32"/>
          <w:u w:val="single"/>
        </w:rPr>
        <w:t>年</w:t>
      </w:r>
      <w:r>
        <w:rPr>
          <w:rFonts w:hint="eastAsia" w:ascii="Times New Roman"/>
          <w:szCs w:val="32"/>
          <w:u w:val="single"/>
        </w:rPr>
        <w:t>9</w:t>
      </w:r>
      <w:r>
        <w:rPr>
          <w:rFonts w:ascii="Times New Roman"/>
          <w:szCs w:val="32"/>
          <w:u w:val="single"/>
        </w:rPr>
        <w:t>月</w:t>
      </w:r>
      <w:r>
        <w:rPr>
          <w:rFonts w:hint="eastAsia" w:ascii="Times New Roman"/>
          <w:szCs w:val="32"/>
          <w:u w:val="single"/>
        </w:rPr>
        <w:t>5</w:t>
      </w:r>
      <w:r>
        <w:rPr>
          <w:rFonts w:ascii="Times New Roman"/>
          <w:szCs w:val="32"/>
          <w:u w:val="single"/>
        </w:rPr>
        <w:t xml:space="preserve">日                         </w:t>
      </w:r>
    </w:p>
    <w:p w14:paraId="319B011A">
      <w:pPr>
        <w:jc w:val="center"/>
        <w:rPr>
          <w:rFonts w:ascii="Times New Roman" w:eastAsia="方正小标宋简体"/>
          <w:sz w:val="36"/>
          <w:szCs w:val="36"/>
        </w:rPr>
        <w:sectPr>
          <w:pgSz w:w="11906" w:h="16838"/>
          <w:pgMar w:top="2098" w:right="1474" w:bottom="1984" w:left="1588" w:header="851" w:footer="992" w:gutter="0"/>
          <w:pgNumType w:fmt="numberInDash"/>
          <w:cols w:space="0" w:num="1"/>
          <w:docGrid w:type="linesAndChars" w:linePitch="579" w:charSpace="-1024"/>
        </w:sectPr>
      </w:pPr>
    </w:p>
    <w:p w14:paraId="6D362B93">
      <w:pPr>
        <w:jc w:val="center"/>
        <w:rPr>
          <w:rFonts w:ascii="Times New Roman" w:eastAsia="方正小标宋简体"/>
          <w:sz w:val="36"/>
          <w:szCs w:val="36"/>
        </w:rPr>
      </w:pPr>
      <w:r>
        <w:rPr>
          <w:rFonts w:hint="eastAsia" w:ascii="Times New Roman" w:eastAsia="方正小标宋简体"/>
          <w:sz w:val="36"/>
          <w:szCs w:val="36"/>
        </w:rPr>
        <w:t>2022年度黄石市西塞山区卫生健康局</w:t>
      </w:r>
    </w:p>
    <w:p w14:paraId="5232A9FA">
      <w:pPr>
        <w:jc w:val="center"/>
        <w:rPr>
          <w:rFonts w:ascii="Times New Roman" w:eastAsia="方正小标宋简体"/>
          <w:sz w:val="36"/>
          <w:szCs w:val="36"/>
        </w:rPr>
      </w:pPr>
      <w:r>
        <w:rPr>
          <w:rFonts w:hint="eastAsia" w:ascii="Times New Roman" w:eastAsia="方正小标宋简体"/>
          <w:sz w:val="36"/>
          <w:szCs w:val="36"/>
        </w:rPr>
        <w:t>部门整体支出绩效评价报告</w:t>
      </w:r>
    </w:p>
    <w:p w14:paraId="7CAFB428">
      <w:pPr>
        <w:jc w:val="center"/>
        <w:rPr>
          <w:rFonts w:ascii="Times New Roman" w:eastAsia="仿宋"/>
          <w:szCs w:val="32"/>
        </w:rPr>
      </w:pPr>
    </w:p>
    <w:p w14:paraId="7B9F68A6">
      <w:pPr>
        <w:pStyle w:val="3"/>
        <w:topLinePunct/>
        <w:spacing w:line="560" w:lineRule="exact"/>
        <w:ind w:firstLine="630"/>
        <w:rPr>
          <w:rFonts w:ascii="Times New Roman" w:hAnsi="Times New Roman"/>
          <w:b w:val="0"/>
          <w:sz w:val="32"/>
        </w:rPr>
      </w:pPr>
      <w:r>
        <w:rPr>
          <w:rFonts w:ascii="Times New Roman" w:hAnsi="Times New Roman"/>
          <w:b w:val="0"/>
          <w:sz w:val="32"/>
        </w:rPr>
        <w:t>一、评价结论</w:t>
      </w:r>
    </w:p>
    <w:p w14:paraId="2D7EADE7">
      <w:pPr>
        <w:pStyle w:val="4"/>
        <w:spacing w:line="560" w:lineRule="exact"/>
        <w:ind w:firstLine="633"/>
        <w:rPr>
          <w:rFonts w:ascii="Times New Roman" w:hAnsi="Times New Roman" w:eastAsia="楷体"/>
          <w:sz w:val="32"/>
          <w:szCs w:val="36"/>
        </w:rPr>
      </w:pPr>
      <w:bookmarkStart w:id="0" w:name="_Toc40281669"/>
      <w:r>
        <w:rPr>
          <w:rFonts w:ascii="Times New Roman" w:hAnsi="Times New Roman" w:eastAsia="楷体"/>
          <w:sz w:val="32"/>
          <w:szCs w:val="36"/>
        </w:rPr>
        <w:t>（一）评价分数和等级</w:t>
      </w:r>
    </w:p>
    <w:p w14:paraId="6FE24BA9">
      <w:pPr>
        <w:spacing w:line="560" w:lineRule="exact"/>
        <w:ind w:firstLine="632" w:firstLineChars="200"/>
        <w:rPr>
          <w:rFonts w:ascii="Times New Roman"/>
        </w:rPr>
      </w:pPr>
      <w:r>
        <w:rPr>
          <w:rFonts w:ascii="Times New Roman"/>
          <w:szCs w:val="32"/>
        </w:rPr>
        <w:t>202</w:t>
      </w:r>
      <w:r>
        <w:rPr>
          <w:rFonts w:hint="eastAsia" w:ascii="Times New Roman"/>
          <w:szCs w:val="32"/>
        </w:rPr>
        <w:t>2</w:t>
      </w:r>
      <w:r>
        <w:rPr>
          <w:rFonts w:ascii="Times New Roman"/>
          <w:szCs w:val="32"/>
        </w:rPr>
        <w:t>年</w:t>
      </w:r>
      <w:r>
        <w:rPr>
          <w:rFonts w:hint="eastAsia" w:ascii="Times New Roman"/>
          <w:szCs w:val="32"/>
        </w:rPr>
        <w:t>黄石市西塞山区卫生健康局部门整体支出绩效</w:t>
      </w:r>
      <w:r>
        <w:rPr>
          <w:rFonts w:ascii="Times New Roman"/>
        </w:rPr>
        <w:t>评价得分</w:t>
      </w:r>
      <w:r>
        <w:rPr>
          <w:rFonts w:hint="eastAsia" w:ascii="Times New Roman"/>
          <w:szCs w:val="32"/>
        </w:rPr>
        <w:t>90.50</w:t>
      </w:r>
      <w:r>
        <w:rPr>
          <w:rFonts w:ascii="Times New Roman"/>
        </w:rPr>
        <w:t>分，评价等级为“</w:t>
      </w:r>
      <w:r>
        <w:rPr>
          <w:rFonts w:hint="eastAsia" w:ascii="Times New Roman"/>
        </w:rPr>
        <w:t>优</w:t>
      </w:r>
      <w:r>
        <w:rPr>
          <w:rFonts w:ascii="Times New Roman"/>
        </w:rPr>
        <w:t>”。</w:t>
      </w:r>
    </w:p>
    <w:p w14:paraId="577D7CF1">
      <w:pPr>
        <w:ind w:firstLine="632" w:firstLineChars="200"/>
        <w:rPr>
          <w:rFonts w:ascii="Times New Roman"/>
        </w:rPr>
      </w:pPr>
      <w:r>
        <w:rPr>
          <w:rFonts w:ascii="Times New Roman"/>
        </w:rPr>
        <w:t>评分表如下：</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5"/>
        <w:gridCol w:w="1988"/>
        <w:gridCol w:w="3262"/>
        <w:gridCol w:w="1144"/>
        <w:gridCol w:w="1221"/>
      </w:tblGrid>
      <w:tr w14:paraId="720F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445" w:type="dxa"/>
            <w:vAlign w:val="center"/>
          </w:tcPr>
          <w:p w14:paraId="042F0EC8">
            <w:pPr>
              <w:widowControl/>
              <w:spacing w:line="0" w:lineRule="atLeast"/>
              <w:jc w:val="center"/>
              <w:textAlignment w:val="center"/>
              <w:rPr>
                <w:rFonts w:hAnsi="仿宋_GB2312"/>
                <w:b/>
                <w:bCs/>
                <w:sz w:val="28"/>
                <w:szCs w:val="28"/>
              </w:rPr>
            </w:pPr>
            <w:r>
              <w:rPr>
                <w:rFonts w:hAnsi="仿宋_GB2312"/>
                <w:b/>
                <w:bCs/>
                <w:sz w:val="28"/>
                <w:szCs w:val="28"/>
              </w:rPr>
              <w:t>一级指标</w:t>
            </w:r>
          </w:p>
        </w:tc>
        <w:tc>
          <w:tcPr>
            <w:tcW w:w="1988" w:type="dxa"/>
            <w:vAlign w:val="center"/>
          </w:tcPr>
          <w:p w14:paraId="1C56D158">
            <w:pPr>
              <w:widowControl/>
              <w:spacing w:line="0" w:lineRule="atLeast"/>
              <w:jc w:val="center"/>
              <w:textAlignment w:val="center"/>
              <w:rPr>
                <w:rFonts w:hAnsi="仿宋_GB2312"/>
                <w:b/>
                <w:bCs/>
                <w:sz w:val="28"/>
                <w:szCs w:val="28"/>
              </w:rPr>
            </w:pPr>
            <w:r>
              <w:rPr>
                <w:rFonts w:hAnsi="仿宋_GB2312"/>
                <w:b/>
                <w:bCs/>
                <w:sz w:val="28"/>
                <w:szCs w:val="28"/>
              </w:rPr>
              <w:t>二级指标</w:t>
            </w:r>
          </w:p>
        </w:tc>
        <w:tc>
          <w:tcPr>
            <w:tcW w:w="3262" w:type="dxa"/>
            <w:vAlign w:val="center"/>
          </w:tcPr>
          <w:p w14:paraId="49A9E9C5">
            <w:pPr>
              <w:widowControl/>
              <w:spacing w:line="0" w:lineRule="atLeast"/>
              <w:jc w:val="center"/>
              <w:textAlignment w:val="center"/>
              <w:rPr>
                <w:rFonts w:hAnsi="仿宋_GB2312"/>
                <w:b/>
                <w:bCs/>
                <w:sz w:val="28"/>
                <w:szCs w:val="28"/>
              </w:rPr>
            </w:pPr>
            <w:r>
              <w:rPr>
                <w:rFonts w:hAnsi="仿宋_GB2312"/>
                <w:b/>
                <w:bCs/>
                <w:sz w:val="28"/>
                <w:szCs w:val="28"/>
              </w:rPr>
              <w:t>三级指标</w:t>
            </w:r>
          </w:p>
        </w:tc>
        <w:tc>
          <w:tcPr>
            <w:tcW w:w="1144" w:type="dxa"/>
            <w:vAlign w:val="center"/>
          </w:tcPr>
          <w:p w14:paraId="167A0B60">
            <w:pPr>
              <w:widowControl/>
              <w:spacing w:line="0" w:lineRule="atLeast"/>
              <w:jc w:val="center"/>
              <w:textAlignment w:val="center"/>
              <w:rPr>
                <w:rFonts w:hAnsi="仿宋_GB2312"/>
                <w:b/>
                <w:bCs/>
                <w:sz w:val="28"/>
                <w:szCs w:val="28"/>
              </w:rPr>
            </w:pPr>
            <w:r>
              <w:rPr>
                <w:rFonts w:hAnsi="仿宋_GB2312"/>
                <w:b/>
                <w:bCs/>
                <w:sz w:val="28"/>
                <w:szCs w:val="28"/>
              </w:rPr>
              <w:t>分值</w:t>
            </w:r>
          </w:p>
        </w:tc>
        <w:tc>
          <w:tcPr>
            <w:tcW w:w="1221" w:type="dxa"/>
            <w:vAlign w:val="center"/>
          </w:tcPr>
          <w:p w14:paraId="63132F6D">
            <w:pPr>
              <w:widowControl/>
              <w:spacing w:line="0" w:lineRule="atLeast"/>
              <w:jc w:val="center"/>
              <w:textAlignment w:val="center"/>
              <w:rPr>
                <w:rFonts w:hAnsi="仿宋_GB2312"/>
                <w:b/>
                <w:bCs/>
                <w:sz w:val="28"/>
                <w:szCs w:val="28"/>
              </w:rPr>
            </w:pPr>
            <w:r>
              <w:rPr>
                <w:rFonts w:hAnsi="仿宋_GB2312"/>
                <w:b/>
                <w:bCs/>
                <w:sz w:val="28"/>
                <w:szCs w:val="28"/>
              </w:rPr>
              <w:t>得分</w:t>
            </w:r>
          </w:p>
        </w:tc>
      </w:tr>
      <w:tr w14:paraId="050A7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4E71B47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运行成本(8)</w:t>
            </w:r>
          </w:p>
        </w:tc>
        <w:tc>
          <w:tcPr>
            <w:tcW w:w="1988" w:type="dxa"/>
            <w:vAlign w:val="center"/>
          </w:tcPr>
          <w:p w14:paraId="7B25FCF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公用经费控制（2）</w:t>
            </w:r>
          </w:p>
        </w:tc>
        <w:tc>
          <w:tcPr>
            <w:tcW w:w="3262" w:type="dxa"/>
            <w:vAlign w:val="center"/>
          </w:tcPr>
          <w:p w14:paraId="7B679774">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公用经费控制率</w:t>
            </w:r>
          </w:p>
        </w:tc>
        <w:tc>
          <w:tcPr>
            <w:tcW w:w="1144" w:type="dxa"/>
            <w:vAlign w:val="center"/>
          </w:tcPr>
          <w:p w14:paraId="502A2EA8">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c>
          <w:tcPr>
            <w:tcW w:w="1221" w:type="dxa"/>
            <w:vAlign w:val="center"/>
          </w:tcPr>
          <w:p w14:paraId="7D4CC40F">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r>
      <w:tr w14:paraId="334A7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7E4E309D">
            <w:pPr>
              <w:widowControl/>
              <w:spacing w:line="0" w:lineRule="atLeast"/>
              <w:jc w:val="center"/>
              <w:rPr>
                <w:rFonts w:ascii="仿宋" w:hAnsi="仿宋" w:eastAsia="仿宋" w:cs="仿宋"/>
                <w:sz w:val="28"/>
                <w:szCs w:val="28"/>
              </w:rPr>
            </w:pPr>
          </w:p>
        </w:tc>
        <w:tc>
          <w:tcPr>
            <w:tcW w:w="1988" w:type="dxa"/>
            <w:vAlign w:val="center"/>
          </w:tcPr>
          <w:p w14:paraId="18ABF72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在职人员控制(2)</w:t>
            </w:r>
          </w:p>
        </w:tc>
        <w:tc>
          <w:tcPr>
            <w:tcW w:w="3262" w:type="dxa"/>
            <w:vAlign w:val="center"/>
          </w:tcPr>
          <w:p w14:paraId="1835D11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在职人员控制率</w:t>
            </w:r>
          </w:p>
        </w:tc>
        <w:tc>
          <w:tcPr>
            <w:tcW w:w="1144" w:type="dxa"/>
            <w:vAlign w:val="center"/>
          </w:tcPr>
          <w:p w14:paraId="63A40A9E">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c>
          <w:tcPr>
            <w:tcW w:w="1221" w:type="dxa"/>
            <w:vAlign w:val="center"/>
          </w:tcPr>
          <w:p w14:paraId="27383B5F">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r>
      <w:tr w14:paraId="2CE0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B72104F">
            <w:pPr>
              <w:widowControl/>
              <w:spacing w:line="0" w:lineRule="atLeast"/>
              <w:jc w:val="center"/>
              <w:rPr>
                <w:rFonts w:ascii="仿宋" w:hAnsi="仿宋" w:eastAsia="仿宋" w:cs="仿宋"/>
                <w:sz w:val="28"/>
                <w:szCs w:val="28"/>
              </w:rPr>
            </w:pPr>
          </w:p>
        </w:tc>
        <w:tc>
          <w:tcPr>
            <w:tcW w:w="1988" w:type="dxa"/>
            <w:vMerge w:val="restart"/>
            <w:vAlign w:val="center"/>
          </w:tcPr>
          <w:p w14:paraId="71E882DC">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项目支出成本控制（4)</w:t>
            </w:r>
          </w:p>
        </w:tc>
        <w:tc>
          <w:tcPr>
            <w:tcW w:w="3262" w:type="dxa"/>
            <w:vAlign w:val="center"/>
          </w:tcPr>
          <w:p w14:paraId="7FF11BC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会议费控制率</w:t>
            </w:r>
          </w:p>
        </w:tc>
        <w:tc>
          <w:tcPr>
            <w:tcW w:w="1144" w:type="dxa"/>
            <w:vAlign w:val="center"/>
          </w:tcPr>
          <w:p w14:paraId="5FC42DE9">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04222488">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61975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DC120F5">
            <w:pPr>
              <w:widowControl/>
              <w:spacing w:line="0" w:lineRule="atLeast"/>
              <w:jc w:val="center"/>
              <w:rPr>
                <w:rFonts w:ascii="仿宋" w:hAnsi="仿宋" w:eastAsia="仿宋" w:cs="仿宋"/>
                <w:sz w:val="28"/>
                <w:szCs w:val="28"/>
              </w:rPr>
            </w:pPr>
          </w:p>
        </w:tc>
        <w:tc>
          <w:tcPr>
            <w:tcW w:w="1988" w:type="dxa"/>
            <w:vMerge w:val="continue"/>
            <w:vAlign w:val="center"/>
          </w:tcPr>
          <w:p w14:paraId="651A2215">
            <w:pPr>
              <w:widowControl/>
              <w:spacing w:line="0" w:lineRule="atLeast"/>
              <w:jc w:val="center"/>
              <w:rPr>
                <w:rFonts w:ascii="仿宋" w:hAnsi="仿宋" w:eastAsia="仿宋" w:cs="仿宋"/>
                <w:sz w:val="28"/>
                <w:szCs w:val="28"/>
              </w:rPr>
            </w:pPr>
          </w:p>
        </w:tc>
        <w:tc>
          <w:tcPr>
            <w:tcW w:w="3262" w:type="dxa"/>
            <w:vAlign w:val="center"/>
          </w:tcPr>
          <w:p w14:paraId="369A599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eastAsia="zh-CN" w:bidi="ar"/>
              </w:rPr>
              <w:t>“三公”经费</w:t>
            </w:r>
            <w:r>
              <w:rPr>
                <w:rFonts w:hint="eastAsia" w:ascii="仿宋" w:hAnsi="仿宋" w:eastAsia="仿宋" w:cs="仿宋"/>
                <w:kern w:val="0"/>
                <w:sz w:val="28"/>
                <w:szCs w:val="28"/>
                <w:lang w:bidi="ar"/>
              </w:rPr>
              <w:t>变动率</w:t>
            </w:r>
          </w:p>
        </w:tc>
        <w:tc>
          <w:tcPr>
            <w:tcW w:w="1144" w:type="dxa"/>
            <w:vAlign w:val="center"/>
          </w:tcPr>
          <w:p w14:paraId="5A6CE201">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1E2737E0">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0</w:t>
            </w:r>
          </w:p>
        </w:tc>
      </w:tr>
      <w:tr w14:paraId="6E80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6985069">
            <w:pPr>
              <w:widowControl/>
              <w:spacing w:line="0" w:lineRule="atLeast"/>
              <w:jc w:val="center"/>
              <w:rPr>
                <w:rFonts w:ascii="仿宋" w:hAnsi="仿宋" w:eastAsia="仿宋" w:cs="仿宋"/>
                <w:sz w:val="28"/>
                <w:szCs w:val="28"/>
              </w:rPr>
            </w:pPr>
          </w:p>
        </w:tc>
        <w:tc>
          <w:tcPr>
            <w:tcW w:w="1988" w:type="dxa"/>
            <w:vMerge w:val="continue"/>
            <w:vAlign w:val="center"/>
          </w:tcPr>
          <w:p w14:paraId="1C516EEA">
            <w:pPr>
              <w:widowControl/>
              <w:spacing w:line="0" w:lineRule="atLeast"/>
              <w:jc w:val="center"/>
              <w:rPr>
                <w:rFonts w:ascii="仿宋" w:hAnsi="仿宋" w:eastAsia="仿宋" w:cs="仿宋"/>
                <w:sz w:val="28"/>
                <w:szCs w:val="28"/>
              </w:rPr>
            </w:pPr>
          </w:p>
        </w:tc>
        <w:tc>
          <w:tcPr>
            <w:tcW w:w="3262" w:type="dxa"/>
            <w:vAlign w:val="center"/>
          </w:tcPr>
          <w:p w14:paraId="7B18C54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新增资产支出控制率</w:t>
            </w:r>
          </w:p>
        </w:tc>
        <w:tc>
          <w:tcPr>
            <w:tcW w:w="1144" w:type="dxa"/>
            <w:vAlign w:val="center"/>
          </w:tcPr>
          <w:p w14:paraId="0054E61A">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c>
          <w:tcPr>
            <w:tcW w:w="1221" w:type="dxa"/>
            <w:vAlign w:val="center"/>
          </w:tcPr>
          <w:p w14:paraId="540C14A3">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r>
      <w:tr w14:paraId="09574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5712793C">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管理效率（22）</w:t>
            </w:r>
          </w:p>
        </w:tc>
        <w:tc>
          <w:tcPr>
            <w:tcW w:w="1988" w:type="dxa"/>
            <w:vMerge w:val="restart"/>
            <w:vAlign w:val="center"/>
          </w:tcPr>
          <w:p w14:paraId="7AC1D3F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战略管理（2）</w:t>
            </w:r>
          </w:p>
        </w:tc>
        <w:tc>
          <w:tcPr>
            <w:tcW w:w="3262" w:type="dxa"/>
            <w:vAlign w:val="center"/>
          </w:tcPr>
          <w:p w14:paraId="78EE0E3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中长期规划相符性</w:t>
            </w:r>
          </w:p>
        </w:tc>
        <w:tc>
          <w:tcPr>
            <w:tcW w:w="1144" w:type="dxa"/>
            <w:vAlign w:val="center"/>
          </w:tcPr>
          <w:p w14:paraId="5FA41923">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356546BB">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6C25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744422A0">
            <w:pPr>
              <w:widowControl/>
              <w:spacing w:line="0" w:lineRule="atLeast"/>
              <w:jc w:val="center"/>
              <w:rPr>
                <w:rFonts w:ascii="仿宋" w:hAnsi="仿宋" w:eastAsia="仿宋" w:cs="仿宋"/>
                <w:sz w:val="28"/>
                <w:szCs w:val="28"/>
              </w:rPr>
            </w:pPr>
          </w:p>
        </w:tc>
        <w:tc>
          <w:tcPr>
            <w:tcW w:w="1988" w:type="dxa"/>
            <w:vMerge w:val="continue"/>
            <w:vAlign w:val="center"/>
          </w:tcPr>
          <w:p w14:paraId="74F15380">
            <w:pPr>
              <w:widowControl/>
              <w:spacing w:line="0" w:lineRule="atLeast"/>
              <w:jc w:val="center"/>
              <w:rPr>
                <w:rFonts w:ascii="仿宋" w:hAnsi="仿宋" w:eastAsia="仿宋" w:cs="仿宋"/>
                <w:sz w:val="28"/>
                <w:szCs w:val="28"/>
              </w:rPr>
            </w:pPr>
          </w:p>
        </w:tc>
        <w:tc>
          <w:tcPr>
            <w:tcW w:w="3262" w:type="dxa"/>
            <w:vAlign w:val="center"/>
          </w:tcPr>
          <w:p w14:paraId="691D4D9C">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工作计划健全性</w:t>
            </w:r>
          </w:p>
        </w:tc>
        <w:tc>
          <w:tcPr>
            <w:tcW w:w="1144" w:type="dxa"/>
            <w:vAlign w:val="center"/>
          </w:tcPr>
          <w:p w14:paraId="24373A1B">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75BCEEE1">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3CB9C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6B42713">
            <w:pPr>
              <w:widowControl/>
              <w:spacing w:line="0" w:lineRule="atLeast"/>
              <w:jc w:val="center"/>
              <w:rPr>
                <w:rFonts w:ascii="仿宋" w:hAnsi="仿宋" w:eastAsia="仿宋" w:cs="仿宋"/>
                <w:sz w:val="28"/>
                <w:szCs w:val="28"/>
              </w:rPr>
            </w:pPr>
          </w:p>
        </w:tc>
        <w:tc>
          <w:tcPr>
            <w:tcW w:w="1988" w:type="dxa"/>
            <w:vMerge w:val="restart"/>
            <w:vAlign w:val="center"/>
          </w:tcPr>
          <w:p w14:paraId="284BFA11">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预算编制(5)</w:t>
            </w:r>
          </w:p>
        </w:tc>
        <w:tc>
          <w:tcPr>
            <w:tcW w:w="3262" w:type="dxa"/>
            <w:vAlign w:val="center"/>
          </w:tcPr>
          <w:p w14:paraId="05C522D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预算编制科学性</w:t>
            </w:r>
          </w:p>
        </w:tc>
        <w:tc>
          <w:tcPr>
            <w:tcW w:w="1144" w:type="dxa"/>
            <w:vAlign w:val="center"/>
          </w:tcPr>
          <w:p w14:paraId="76D547B9">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6F2D6CF4">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70B4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E98505B">
            <w:pPr>
              <w:widowControl/>
              <w:spacing w:line="0" w:lineRule="atLeast"/>
              <w:jc w:val="center"/>
              <w:rPr>
                <w:rFonts w:ascii="仿宋" w:hAnsi="仿宋" w:eastAsia="仿宋" w:cs="仿宋"/>
                <w:sz w:val="28"/>
                <w:szCs w:val="28"/>
              </w:rPr>
            </w:pPr>
          </w:p>
        </w:tc>
        <w:tc>
          <w:tcPr>
            <w:tcW w:w="1988" w:type="dxa"/>
            <w:vMerge w:val="continue"/>
            <w:vAlign w:val="center"/>
          </w:tcPr>
          <w:p w14:paraId="744F7DD6">
            <w:pPr>
              <w:widowControl/>
              <w:spacing w:line="0" w:lineRule="atLeast"/>
              <w:jc w:val="center"/>
              <w:rPr>
                <w:rFonts w:ascii="仿宋" w:hAnsi="仿宋" w:eastAsia="仿宋" w:cs="仿宋"/>
                <w:sz w:val="28"/>
                <w:szCs w:val="28"/>
              </w:rPr>
            </w:pPr>
          </w:p>
        </w:tc>
        <w:tc>
          <w:tcPr>
            <w:tcW w:w="3262" w:type="dxa"/>
            <w:vAlign w:val="center"/>
          </w:tcPr>
          <w:p w14:paraId="289B5F39">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预算编制合理性</w:t>
            </w:r>
          </w:p>
        </w:tc>
        <w:tc>
          <w:tcPr>
            <w:tcW w:w="1144" w:type="dxa"/>
            <w:vAlign w:val="center"/>
          </w:tcPr>
          <w:p w14:paraId="6BA0D782">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14789336">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04E01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BD015F1">
            <w:pPr>
              <w:widowControl/>
              <w:spacing w:line="0" w:lineRule="atLeast"/>
              <w:jc w:val="center"/>
              <w:rPr>
                <w:rFonts w:ascii="仿宋" w:hAnsi="仿宋" w:eastAsia="仿宋" w:cs="仿宋"/>
                <w:sz w:val="28"/>
                <w:szCs w:val="28"/>
              </w:rPr>
            </w:pPr>
          </w:p>
        </w:tc>
        <w:tc>
          <w:tcPr>
            <w:tcW w:w="1988" w:type="dxa"/>
            <w:vMerge w:val="continue"/>
            <w:vAlign w:val="center"/>
          </w:tcPr>
          <w:p w14:paraId="08E6A32F">
            <w:pPr>
              <w:widowControl/>
              <w:spacing w:line="0" w:lineRule="atLeast"/>
              <w:jc w:val="center"/>
              <w:rPr>
                <w:rFonts w:ascii="仿宋" w:hAnsi="仿宋" w:eastAsia="仿宋" w:cs="仿宋"/>
                <w:sz w:val="28"/>
                <w:szCs w:val="28"/>
              </w:rPr>
            </w:pPr>
          </w:p>
        </w:tc>
        <w:tc>
          <w:tcPr>
            <w:tcW w:w="3262" w:type="dxa"/>
            <w:vAlign w:val="center"/>
          </w:tcPr>
          <w:p w14:paraId="130EF361">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立项规范性</w:t>
            </w:r>
          </w:p>
        </w:tc>
        <w:tc>
          <w:tcPr>
            <w:tcW w:w="1144" w:type="dxa"/>
            <w:vAlign w:val="center"/>
          </w:tcPr>
          <w:p w14:paraId="3F9B97A5">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4F1572C0">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6A20C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43E1C1D">
            <w:pPr>
              <w:widowControl/>
              <w:spacing w:line="0" w:lineRule="atLeast"/>
              <w:jc w:val="center"/>
              <w:rPr>
                <w:rFonts w:ascii="仿宋" w:hAnsi="仿宋" w:eastAsia="仿宋" w:cs="仿宋"/>
                <w:sz w:val="28"/>
                <w:szCs w:val="28"/>
              </w:rPr>
            </w:pPr>
          </w:p>
        </w:tc>
        <w:tc>
          <w:tcPr>
            <w:tcW w:w="1988" w:type="dxa"/>
            <w:vMerge w:val="continue"/>
            <w:vAlign w:val="center"/>
          </w:tcPr>
          <w:p w14:paraId="7DC94040">
            <w:pPr>
              <w:widowControl/>
              <w:spacing w:line="0" w:lineRule="atLeast"/>
              <w:jc w:val="center"/>
              <w:rPr>
                <w:rFonts w:ascii="仿宋" w:hAnsi="仿宋" w:eastAsia="仿宋" w:cs="仿宋"/>
                <w:sz w:val="28"/>
                <w:szCs w:val="28"/>
              </w:rPr>
            </w:pPr>
          </w:p>
        </w:tc>
        <w:tc>
          <w:tcPr>
            <w:tcW w:w="3262" w:type="dxa"/>
            <w:vAlign w:val="center"/>
          </w:tcPr>
          <w:p w14:paraId="2CB2CE8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预算调整率</w:t>
            </w:r>
          </w:p>
        </w:tc>
        <w:tc>
          <w:tcPr>
            <w:tcW w:w="1144" w:type="dxa"/>
            <w:vAlign w:val="center"/>
          </w:tcPr>
          <w:p w14:paraId="62AA3E33">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c>
          <w:tcPr>
            <w:tcW w:w="1221" w:type="dxa"/>
            <w:vAlign w:val="center"/>
          </w:tcPr>
          <w:p w14:paraId="382121F7">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0</w:t>
            </w:r>
          </w:p>
        </w:tc>
      </w:tr>
      <w:tr w14:paraId="332E6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6C1C37F">
            <w:pPr>
              <w:widowControl/>
              <w:spacing w:line="0" w:lineRule="atLeast"/>
              <w:jc w:val="center"/>
              <w:rPr>
                <w:rFonts w:ascii="仿宋" w:hAnsi="仿宋" w:eastAsia="仿宋" w:cs="仿宋"/>
                <w:sz w:val="28"/>
                <w:szCs w:val="28"/>
              </w:rPr>
            </w:pPr>
          </w:p>
        </w:tc>
        <w:tc>
          <w:tcPr>
            <w:tcW w:w="1988" w:type="dxa"/>
            <w:vMerge w:val="restart"/>
            <w:vAlign w:val="center"/>
          </w:tcPr>
          <w:p w14:paraId="52758187">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预算执行(5)</w:t>
            </w:r>
          </w:p>
        </w:tc>
        <w:tc>
          <w:tcPr>
            <w:tcW w:w="3262" w:type="dxa"/>
            <w:vAlign w:val="center"/>
          </w:tcPr>
          <w:p w14:paraId="00F70033">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预算执行率</w:t>
            </w:r>
          </w:p>
        </w:tc>
        <w:tc>
          <w:tcPr>
            <w:tcW w:w="1144" w:type="dxa"/>
            <w:vAlign w:val="center"/>
          </w:tcPr>
          <w:p w14:paraId="1ECF4413">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c>
          <w:tcPr>
            <w:tcW w:w="1221" w:type="dxa"/>
            <w:vAlign w:val="center"/>
          </w:tcPr>
          <w:p w14:paraId="10735271">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r>
      <w:tr w14:paraId="7476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63BA1D6">
            <w:pPr>
              <w:widowControl/>
              <w:spacing w:line="0" w:lineRule="atLeast"/>
              <w:jc w:val="center"/>
              <w:rPr>
                <w:rFonts w:ascii="仿宋" w:hAnsi="仿宋" w:eastAsia="仿宋" w:cs="仿宋"/>
                <w:sz w:val="28"/>
                <w:szCs w:val="28"/>
              </w:rPr>
            </w:pPr>
          </w:p>
        </w:tc>
        <w:tc>
          <w:tcPr>
            <w:tcW w:w="1988" w:type="dxa"/>
            <w:vMerge w:val="continue"/>
            <w:vAlign w:val="center"/>
          </w:tcPr>
          <w:p w14:paraId="08BC4495">
            <w:pPr>
              <w:widowControl/>
              <w:spacing w:line="0" w:lineRule="atLeast"/>
              <w:jc w:val="center"/>
              <w:rPr>
                <w:rFonts w:ascii="仿宋" w:hAnsi="仿宋" w:eastAsia="仿宋" w:cs="仿宋"/>
                <w:sz w:val="28"/>
                <w:szCs w:val="28"/>
              </w:rPr>
            </w:pPr>
          </w:p>
        </w:tc>
        <w:tc>
          <w:tcPr>
            <w:tcW w:w="3262" w:type="dxa"/>
            <w:vAlign w:val="center"/>
          </w:tcPr>
          <w:p w14:paraId="399FBBF1">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结转结余率</w:t>
            </w:r>
          </w:p>
        </w:tc>
        <w:tc>
          <w:tcPr>
            <w:tcW w:w="1144" w:type="dxa"/>
            <w:vAlign w:val="center"/>
          </w:tcPr>
          <w:p w14:paraId="3FF9EA66">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71A2251E">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05560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E0ED36D">
            <w:pPr>
              <w:widowControl/>
              <w:spacing w:line="0" w:lineRule="atLeast"/>
              <w:jc w:val="center"/>
              <w:rPr>
                <w:rFonts w:ascii="仿宋" w:hAnsi="仿宋" w:eastAsia="仿宋" w:cs="仿宋"/>
                <w:sz w:val="28"/>
                <w:szCs w:val="28"/>
              </w:rPr>
            </w:pPr>
          </w:p>
        </w:tc>
        <w:tc>
          <w:tcPr>
            <w:tcW w:w="1988" w:type="dxa"/>
            <w:vMerge w:val="continue"/>
            <w:vAlign w:val="center"/>
          </w:tcPr>
          <w:p w14:paraId="69D1ACA0">
            <w:pPr>
              <w:widowControl/>
              <w:spacing w:line="0" w:lineRule="atLeast"/>
              <w:jc w:val="center"/>
              <w:rPr>
                <w:rFonts w:ascii="仿宋" w:hAnsi="仿宋" w:eastAsia="仿宋" w:cs="仿宋"/>
                <w:sz w:val="28"/>
                <w:szCs w:val="28"/>
              </w:rPr>
            </w:pPr>
          </w:p>
        </w:tc>
        <w:tc>
          <w:tcPr>
            <w:tcW w:w="3262" w:type="dxa"/>
            <w:vAlign w:val="center"/>
          </w:tcPr>
          <w:p w14:paraId="2BD8608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政府采购执行率</w:t>
            </w:r>
          </w:p>
        </w:tc>
        <w:tc>
          <w:tcPr>
            <w:tcW w:w="1144" w:type="dxa"/>
            <w:vAlign w:val="center"/>
          </w:tcPr>
          <w:p w14:paraId="26FBCBD3">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24C71AA5">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62D48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F53E4E6">
            <w:pPr>
              <w:widowControl/>
              <w:spacing w:line="0" w:lineRule="atLeast"/>
              <w:jc w:val="center"/>
              <w:rPr>
                <w:rFonts w:ascii="仿宋" w:hAnsi="仿宋" w:eastAsia="仿宋" w:cs="仿宋"/>
                <w:sz w:val="28"/>
                <w:szCs w:val="28"/>
              </w:rPr>
            </w:pPr>
          </w:p>
        </w:tc>
        <w:tc>
          <w:tcPr>
            <w:tcW w:w="1988" w:type="dxa"/>
            <w:vMerge w:val="continue"/>
            <w:vAlign w:val="center"/>
          </w:tcPr>
          <w:p w14:paraId="608122FF">
            <w:pPr>
              <w:widowControl/>
              <w:spacing w:line="0" w:lineRule="atLeast"/>
              <w:jc w:val="center"/>
              <w:rPr>
                <w:rFonts w:ascii="仿宋" w:hAnsi="仿宋" w:eastAsia="仿宋" w:cs="仿宋"/>
                <w:sz w:val="28"/>
                <w:szCs w:val="28"/>
              </w:rPr>
            </w:pPr>
          </w:p>
        </w:tc>
        <w:tc>
          <w:tcPr>
            <w:tcW w:w="3262" w:type="dxa"/>
            <w:vAlign w:val="center"/>
          </w:tcPr>
          <w:p w14:paraId="5528698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非税收入预算完成率</w:t>
            </w:r>
          </w:p>
        </w:tc>
        <w:tc>
          <w:tcPr>
            <w:tcW w:w="1144" w:type="dxa"/>
            <w:vAlign w:val="center"/>
          </w:tcPr>
          <w:p w14:paraId="0A643DAD">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429ED816">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08A76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F3F6281">
            <w:pPr>
              <w:widowControl/>
              <w:spacing w:line="0" w:lineRule="atLeast"/>
              <w:jc w:val="center"/>
              <w:rPr>
                <w:rFonts w:ascii="仿宋" w:hAnsi="仿宋" w:eastAsia="仿宋" w:cs="仿宋"/>
                <w:sz w:val="28"/>
                <w:szCs w:val="28"/>
              </w:rPr>
            </w:pPr>
          </w:p>
        </w:tc>
        <w:tc>
          <w:tcPr>
            <w:tcW w:w="1988" w:type="dxa"/>
            <w:vMerge w:val="restart"/>
            <w:vAlign w:val="center"/>
          </w:tcPr>
          <w:p w14:paraId="0DB2BA2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绩效管理(5)</w:t>
            </w:r>
          </w:p>
        </w:tc>
        <w:tc>
          <w:tcPr>
            <w:tcW w:w="3262" w:type="dxa"/>
            <w:vAlign w:val="center"/>
          </w:tcPr>
          <w:p w14:paraId="1C9CCC27">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事前绩效评估完成率</w:t>
            </w:r>
          </w:p>
        </w:tc>
        <w:tc>
          <w:tcPr>
            <w:tcW w:w="1144" w:type="dxa"/>
            <w:vAlign w:val="center"/>
          </w:tcPr>
          <w:p w14:paraId="4650C76A">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23FEFFC8">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5173E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81D3FCC">
            <w:pPr>
              <w:widowControl/>
              <w:spacing w:line="0" w:lineRule="atLeast"/>
              <w:jc w:val="center"/>
              <w:rPr>
                <w:rFonts w:ascii="仿宋" w:hAnsi="仿宋" w:eastAsia="仿宋" w:cs="仿宋"/>
                <w:sz w:val="28"/>
                <w:szCs w:val="28"/>
              </w:rPr>
            </w:pPr>
          </w:p>
        </w:tc>
        <w:tc>
          <w:tcPr>
            <w:tcW w:w="1988" w:type="dxa"/>
            <w:vMerge w:val="continue"/>
            <w:vAlign w:val="center"/>
          </w:tcPr>
          <w:p w14:paraId="352543DC">
            <w:pPr>
              <w:widowControl/>
              <w:spacing w:line="0" w:lineRule="atLeast"/>
              <w:jc w:val="center"/>
              <w:rPr>
                <w:rFonts w:ascii="仿宋" w:hAnsi="仿宋" w:eastAsia="仿宋" w:cs="仿宋"/>
                <w:sz w:val="28"/>
                <w:szCs w:val="28"/>
              </w:rPr>
            </w:pPr>
          </w:p>
        </w:tc>
        <w:tc>
          <w:tcPr>
            <w:tcW w:w="3262" w:type="dxa"/>
            <w:vAlign w:val="center"/>
          </w:tcPr>
          <w:p w14:paraId="71A9251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绩效目标合理性</w:t>
            </w:r>
          </w:p>
        </w:tc>
        <w:tc>
          <w:tcPr>
            <w:tcW w:w="1144" w:type="dxa"/>
            <w:vAlign w:val="center"/>
          </w:tcPr>
          <w:p w14:paraId="0100B8DA">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13C0406A">
            <w:pPr>
              <w:widowControl/>
              <w:jc w:val="center"/>
              <w:textAlignment w:val="center"/>
              <w:rPr>
                <w:rFonts w:ascii="仿宋" w:hAnsi="仿宋" w:eastAsia="仿宋" w:cs="仿宋"/>
                <w:sz w:val="28"/>
                <w:szCs w:val="28"/>
                <w:highlight w:val="cyan"/>
              </w:rPr>
            </w:pPr>
            <w:r>
              <w:rPr>
                <w:rFonts w:hint="eastAsia" w:ascii="仿宋" w:hAnsi="仿宋" w:eastAsia="仿宋" w:cs="仿宋"/>
                <w:kern w:val="0"/>
                <w:sz w:val="28"/>
                <w:szCs w:val="28"/>
                <w:lang w:bidi="ar"/>
              </w:rPr>
              <w:t>1</w:t>
            </w:r>
          </w:p>
        </w:tc>
      </w:tr>
      <w:tr w14:paraId="362B1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6324735">
            <w:pPr>
              <w:widowControl/>
              <w:spacing w:line="0" w:lineRule="atLeast"/>
              <w:jc w:val="center"/>
              <w:rPr>
                <w:rFonts w:ascii="仿宋" w:hAnsi="仿宋" w:eastAsia="仿宋" w:cs="仿宋"/>
                <w:sz w:val="28"/>
                <w:szCs w:val="28"/>
              </w:rPr>
            </w:pPr>
          </w:p>
        </w:tc>
        <w:tc>
          <w:tcPr>
            <w:tcW w:w="1988" w:type="dxa"/>
            <w:vMerge w:val="continue"/>
            <w:vAlign w:val="center"/>
          </w:tcPr>
          <w:p w14:paraId="31E2A382">
            <w:pPr>
              <w:widowControl/>
              <w:spacing w:line="0" w:lineRule="atLeast"/>
              <w:jc w:val="center"/>
              <w:rPr>
                <w:rFonts w:ascii="仿宋" w:hAnsi="仿宋" w:eastAsia="仿宋" w:cs="仿宋"/>
                <w:sz w:val="28"/>
                <w:szCs w:val="28"/>
              </w:rPr>
            </w:pPr>
          </w:p>
        </w:tc>
        <w:tc>
          <w:tcPr>
            <w:tcW w:w="3262" w:type="dxa"/>
            <w:vAlign w:val="center"/>
          </w:tcPr>
          <w:p w14:paraId="5EA7713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绩效监控开展率</w:t>
            </w:r>
          </w:p>
        </w:tc>
        <w:tc>
          <w:tcPr>
            <w:tcW w:w="1144" w:type="dxa"/>
            <w:vAlign w:val="center"/>
          </w:tcPr>
          <w:p w14:paraId="58B02825">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7900FE5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26FF6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E2B51A1">
            <w:pPr>
              <w:widowControl/>
              <w:spacing w:line="0" w:lineRule="atLeast"/>
              <w:jc w:val="center"/>
              <w:rPr>
                <w:rFonts w:ascii="仿宋" w:hAnsi="仿宋" w:eastAsia="仿宋" w:cs="仿宋"/>
                <w:sz w:val="28"/>
                <w:szCs w:val="28"/>
              </w:rPr>
            </w:pPr>
          </w:p>
        </w:tc>
        <w:tc>
          <w:tcPr>
            <w:tcW w:w="1988" w:type="dxa"/>
            <w:vMerge w:val="continue"/>
            <w:vAlign w:val="center"/>
          </w:tcPr>
          <w:p w14:paraId="4EE74BFA">
            <w:pPr>
              <w:widowControl/>
              <w:spacing w:line="0" w:lineRule="atLeast"/>
              <w:jc w:val="center"/>
              <w:rPr>
                <w:rFonts w:ascii="仿宋" w:hAnsi="仿宋" w:eastAsia="仿宋" w:cs="仿宋"/>
                <w:sz w:val="28"/>
                <w:szCs w:val="28"/>
              </w:rPr>
            </w:pPr>
          </w:p>
        </w:tc>
        <w:tc>
          <w:tcPr>
            <w:tcW w:w="3262" w:type="dxa"/>
            <w:vAlign w:val="center"/>
          </w:tcPr>
          <w:p w14:paraId="1A5AA26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绩效评价覆盖率</w:t>
            </w:r>
          </w:p>
        </w:tc>
        <w:tc>
          <w:tcPr>
            <w:tcW w:w="1144" w:type="dxa"/>
            <w:vAlign w:val="center"/>
          </w:tcPr>
          <w:p w14:paraId="2214B7BD">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0FD9863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624B8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EC2E8EC">
            <w:pPr>
              <w:widowControl/>
              <w:spacing w:line="0" w:lineRule="atLeast"/>
              <w:jc w:val="center"/>
              <w:rPr>
                <w:rFonts w:ascii="仿宋" w:hAnsi="仿宋" w:eastAsia="仿宋" w:cs="仿宋"/>
                <w:sz w:val="28"/>
                <w:szCs w:val="28"/>
              </w:rPr>
            </w:pPr>
          </w:p>
        </w:tc>
        <w:tc>
          <w:tcPr>
            <w:tcW w:w="1988" w:type="dxa"/>
            <w:vMerge w:val="continue"/>
            <w:vAlign w:val="center"/>
          </w:tcPr>
          <w:p w14:paraId="066E6713">
            <w:pPr>
              <w:widowControl/>
              <w:spacing w:line="0" w:lineRule="atLeast"/>
              <w:jc w:val="center"/>
              <w:rPr>
                <w:rFonts w:ascii="仿宋" w:hAnsi="仿宋" w:eastAsia="仿宋" w:cs="仿宋"/>
                <w:sz w:val="28"/>
                <w:szCs w:val="28"/>
              </w:rPr>
            </w:pPr>
          </w:p>
        </w:tc>
        <w:tc>
          <w:tcPr>
            <w:tcW w:w="3262" w:type="dxa"/>
            <w:vAlign w:val="center"/>
          </w:tcPr>
          <w:p w14:paraId="5475065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评价结果应用率</w:t>
            </w:r>
          </w:p>
        </w:tc>
        <w:tc>
          <w:tcPr>
            <w:tcW w:w="1144" w:type="dxa"/>
            <w:vAlign w:val="center"/>
          </w:tcPr>
          <w:p w14:paraId="2881FC0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1DAF1F2B">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24BF7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5A28DB1">
            <w:pPr>
              <w:widowControl/>
              <w:spacing w:line="0" w:lineRule="atLeast"/>
              <w:jc w:val="center"/>
              <w:rPr>
                <w:rFonts w:ascii="仿宋" w:hAnsi="仿宋" w:eastAsia="仿宋" w:cs="仿宋"/>
                <w:sz w:val="28"/>
                <w:szCs w:val="28"/>
              </w:rPr>
            </w:pPr>
          </w:p>
        </w:tc>
        <w:tc>
          <w:tcPr>
            <w:tcW w:w="1988" w:type="dxa"/>
            <w:vMerge w:val="restart"/>
            <w:vAlign w:val="center"/>
          </w:tcPr>
          <w:p w14:paraId="48227B18">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资产管理(2）</w:t>
            </w:r>
          </w:p>
        </w:tc>
        <w:tc>
          <w:tcPr>
            <w:tcW w:w="3262" w:type="dxa"/>
            <w:vAlign w:val="center"/>
          </w:tcPr>
          <w:p w14:paraId="6DD91F9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资产管理制度健全性</w:t>
            </w:r>
          </w:p>
        </w:tc>
        <w:tc>
          <w:tcPr>
            <w:tcW w:w="1144" w:type="dxa"/>
            <w:vAlign w:val="center"/>
          </w:tcPr>
          <w:p w14:paraId="3D9E7FF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04A0B7FF">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0C22D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0235DD9">
            <w:pPr>
              <w:widowControl/>
              <w:spacing w:line="0" w:lineRule="atLeast"/>
              <w:jc w:val="center"/>
              <w:rPr>
                <w:rFonts w:ascii="仿宋" w:hAnsi="仿宋" w:eastAsia="仿宋" w:cs="仿宋"/>
                <w:sz w:val="28"/>
                <w:szCs w:val="28"/>
              </w:rPr>
            </w:pPr>
          </w:p>
        </w:tc>
        <w:tc>
          <w:tcPr>
            <w:tcW w:w="1988" w:type="dxa"/>
            <w:vMerge w:val="continue"/>
            <w:vAlign w:val="center"/>
          </w:tcPr>
          <w:p w14:paraId="47D43ED3">
            <w:pPr>
              <w:widowControl/>
              <w:spacing w:line="0" w:lineRule="atLeast"/>
              <w:jc w:val="center"/>
              <w:rPr>
                <w:rFonts w:ascii="仿宋" w:hAnsi="仿宋" w:eastAsia="仿宋" w:cs="仿宋"/>
                <w:sz w:val="28"/>
                <w:szCs w:val="28"/>
              </w:rPr>
            </w:pPr>
          </w:p>
        </w:tc>
        <w:tc>
          <w:tcPr>
            <w:tcW w:w="3262" w:type="dxa"/>
            <w:vAlign w:val="center"/>
          </w:tcPr>
          <w:p w14:paraId="347AFB32">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资产管理规范性</w:t>
            </w:r>
          </w:p>
        </w:tc>
        <w:tc>
          <w:tcPr>
            <w:tcW w:w="1144" w:type="dxa"/>
            <w:vAlign w:val="center"/>
          </w:tcPr>
          <w:p w14:paraId="6D037F22">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3A31309D">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0.7</w:t>
            </w:r>
          </w:p>
        </w:tc>
      </w:tr>
      <w:tr w14:paraId="027F0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040A133">
            <w:pPr>
              <w:widowControl/>
              <w:spacing w:line="0" w:lineRule="atLeast"/>
              <w:jc w:val="center"/>
              <w:rPr>
                <w:rFonts w:ascii="仿宋" w:hAnsi="仿宋" w:eastAsia="仿宋" w:cs="仿宋"/>
                <w:sz w:val="28"/>
                <w:szCs w:val="28"/>
              </w:rPr>
            </w:pPr>
          </w:p>
        </w:tc>
        <w:tc>
          <w:tcPr>
            <w:tcW w:w="1988" w:type="dxa"/>
            <w:vMerge w:val="restart"/>
            <w:vAlign w:val="center"/>
          </w:tcPr>
          <w:p w14:paraId="3A7501A9">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财务管理(3)</w:t>
            </w:r>
          </w:p>
        </w:tc>
        <w:tc>
          <w:tcPr>
            <w:tcW w:w="3262" w:type="dxa"/>
            <w:vAlign w:val="center"/>
          </w:tcPr>
          <w:p w14:paraId="35CD8BF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财事管理制度健全性</w:t>
            </w:r>
          </w:p>
        </w:tc>
        <w:tc>
          <w:tcPr>
            <w:tcW w:w="1144" w:type="dxa"/>
            <w:vAlign w:val="center"/>
          </w:tcPr>
          <w:p w14:paraId="297F0E7F">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0A5BE579">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24660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DB3A72B">
            <w:pPr>
              <w:widowControl/>
              <w:spacing w:line="0" w:lineRule="atLeast"/>
              <w:jc w:val="center"/>
              <w:rPr>
                <w:rFonts w:ascii="仿宋" w:hAnsi="仿宋" w:eastAsia="仿宋" w:cs="仿宋"/>
                <w:sz w:val="28"/>
                <w:szCs w:val="28"/>
              </w:rPr>
            </w:pPr>
          </w:p>
        </w:tc>
        <w:tc>
          <w:tcPr>
            <w:tcW w:w="1988" w:type="dxa"/>
            <w:vMerge w:val="continue"/>
            <w:vAlign w:val="center"/>
          </w:tcPr>
          <w:p w14:paraId="50210167">
            <w:pPr>
              <w:widowControl/>
              <w:spacing w:line="0" w:lineRule="atLeast"/>
              <w:jc w:val="center"/>
              <w:rPr>
                <w:rFonts w:ascii="仿宋" w:hAnsi="仿宋" w:eastAsia="仿宋" w:cs="仿宋"/>
                <w:sz w:val="28"/>
                <w:szCs w:val="28"/>
              </w:rPr>
            </w:pPr>
          </w:p>
        </w:tc>
        <w:tc>
          <w:tcPr>
            <w:tcW w:w="3262" w:type="dxa"/>
            <w:vAlign w:val="center"/>
          </w:tcPr>
          <w:p w14:paraId="1D3FA2A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会计核算规范性</w:t>
            </w:r>
          </w:p>
        </w:tc>
        <w:tc>
          <w:tcPr>
            <w:tcW w:w="1144" w:type="dxa"/>
            <w:vAlign w:val="center"/>
          </w:tcPr>
          <w:p w14:paraId="2D5009D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7296F5F1">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16A1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784736DE">
            <w:pPr>
              <w:widowControl/>
              <w:spacing w:line="0" w:lineRule="atLeast"/>
              <w:jc w:val="center"/>
              <w:rPr>
                <w:rFonts w:ascii="仿宋" w:hAnsi="仿宋" w:eastAsia="仿宋" w:cs="仿宋"/>
                <w:sz w:val="28"/>
                <w:szCs w:val="28"/>
              </w:rPr>
            </w:pPr>
          </w:p>
        </w:tc>
        <w:tc>
          <w:tcPr>
            <w:tcW w:w="1988" w:type="dxa"/>
            <w:vMerge w:val="continue"/>
            <w:vAlign w:val="center"/>
          </w:tcPr>
          <w:p w14:paraId="5F10CC98">
            <w:pPr>
              <w:widowControl/>
              <w:spacing w:line="0" w:lineRule="atLeast"/>
              <w:jc w:val="center"/>
              <w:rPr>
                <w:rFonts w:ascii="仿宋" w:hAnsi="仿宋" w:eastAsia="仿宋" w:cs="仿宋"/>
                <w:sz w:val="28"/>
                <w:szCs w:val="28"/>
              </w:rPr>
            </w:pPr>
          </w:p>
        </w:tc>
        <w:tc>
          <w:tcPr>
            <w:tcW w:w="3262" w:type="dxa"/>
            <w:vAlign w:val="center"/>
          </w:tcPr>
          <w:p w14:paraId="2285DD6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资金使用合规性</w:t>
            </w:r>
          </w:p>
        </w:tc>
        <w:tc>
          <w:tcPr>
            <w:tcW w:w="1144" w:type="dxa"/>
            <w:vAlign w:val="center"/>
          </w:tcPr>
          <w:p w14:paraId="048C8242">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1D6DC16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367A9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5F602059">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履职效能（54）</w:t>
            </w:r>
          </w:p>
        </w:tc>
        <w:tc>
          <w:tcPr>
            <w:tcW w:w="1988" w:type="dxa"/>
            <w:vMerge w:val="restart"/>
            <w:vAlign w:val="center"/>
          </w:tcPr>
          <w:p w14:paraId="05C5E77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数量（24）</w:t>
            </w:r>
          </w:p>
        </w:tc>
        <w:tc>
          <w:tcPr>
            <w:tcW w:w="3262" w:type="dxa"/>
            <w:vAlign w:val="center"/>
          </w:tcPr>
          <w:p w14:paraId="144DF17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适龄儿童国家免疫规划疫苗接种率</w:t>
            </w:r>
          </w:p>
        </w:tc>
        <w:tc>
          <w:tcPr>
            <w:tcW w:w="1144" w:type="dxa"/>
            <w:vAlign w:val="center"/>
          </w:tcPr>
          <w:p w14:paraId="0D341F6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c>
          <w:tcPr>
            <w:tcW w:w="1221" w:type="dxa"/>
            <w:vAlign w:val="center"/>
          </w:tcPr>
          <w:p w14:paraId="23A61B86">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r>
      <w:tr w14:paraId="2CE09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88145A5">
            <w:pPr>
              <w:widowControl/>
              <w:spacing w:line="0" w:lineRule="atLeast"/>
              <w:jc w:val="center"/>
              <w:rPr>
                <w:rFonts w:ascii="仿宋" w:hAnsi="仿宋" w:eastAsia="仿宋" w:cs="仿宋"/>
                <w:sz w:val="28"/>
                <w:szCs w:val="28"/>
              </w:rPr>
            </w:pPr>
          </w:p>
        </w:tc>
        <w:tc>
          <w:tcPr>
            <w:tcW w:w="1988" w:type="dxa"/>
            <w:vMerge w:val="continue"/>
            <w:vAlign w:val="center"/>
          </w:tcPr>
          <w:p w14:paraId="32598C94">
            <w:pPr>
              <w:widowControl/>
              <w:spacing w:line="0" w:lineRule="atLeast"/>
              <w:jc w:val="center"/>
              <w:rPr>
                <w:rFonts w:ascii="仿宋" w:hAnsi="仿宋" w:eastAsia="仿宋" w:cs="仿宋"/>
                <w:sz w:val="28"/>
                <w:szCs w:val="28"/>
              </w:rPr>
            </w:pPr>
          </w:p>
        </w:tc>
        <w:tc>
          <w:tcPr>
            <w:tcW w:w="3262" w:type="dxa"/>
            <w:vAlign w:val="center"/>
          </w:tcPr>
          <w:p w14:paraId="3072E81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儿童健康管理率</w:t>
            </w:r>
          </w:p>
        </w:tc>
        <w:tc>
          <w:tcPr>
            <w:tcW w:w="1144" w:type="dxa"/>
            <w:vAlign w:val="center"/>
          </w:tcPr>
          <w:p w14:paraId="433EFB39">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c>
          <w:tcPr>
            <w:tcW w:w="1221" w:type="dxa"/>
            <w:vAlign w:val="center"/>
          </w:tcPr>
          <w:p w14:paraId="62388203">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4</w:t>
            </w:r>
          </w:p>
        </w:tc>
      </w:tr>
      <w:tr w14:paraId="73C86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E45F762">
            <w:pPr>
              <w:widowControl/>
              <w:spacing w:line="0" w:lineRule="atLeast"/>
              <w:jc w:val="center"/>
              <w:rPr>
                <w:rFonts w:ascii="仿宋" w:hAnsi="仿宋" w:eastAsia="仿宋" w:cs="仿宋"/>
                <w:sz w:val="28"/>
                <w:szCs w:val="28"/>
              </w:rPr>
            </w:pPr>
          </w:p>
        </w:tc>
        <w:tc>
          <w:tcPr>
            <w:tcW w:w="1988" w:type="dxa"/>
            <w:vMerge w:val="continue"/>
            <w:vAlign w:val="center"/>
          </w:tcPr>
          <w:p w14:paraId="1D302DE4">
            <w:pPr>
              <w:widowControl/>
              <w:spacing w:line="0" w:lineRule="atLeast"/>
              <w:jc w:val="center"/>
              <w:rPr>
                <w:rFonts w:ascii="仿宋" w:hAnsi="仿宋" w:eastAsia="仿宋" w:cs="仿宋"/>
                <w:sz w:val="28"/>
                <w:szCs w:val="28"/>
              </w:rPr>
            </w:pPr>
          </w:p>
        </w:tc>
        <w:tc>
          <w:tcPr>
            <w:tcW w:w="3262" w:type="dxa"/>
            <w:vAlign w:val="center"/>
          </w:tcPr>
          <w:p w14:paraId="5C5D3BA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0－6岁儿童眼保健和视力检查覆盖率</w:t>
            </w:r>
          </w:p>
        </w:tc>
        <w:tc>
          <w:tcPr>
            <w:tcW w:w="1144" w:type="dxa"/>
            <w:vAlign w:val="center"/>
          </w:tcPr>
          <w:p w14:paraId="7FC63581">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c>
          <w:tcPr>
            <w:tcW w:w="1221" w:type="dxa"/>
            <w:vAlign w:val="center"/>
          </w:tcPr>
          <w:p w14:paraId="71FF8CC6">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3.54 </w:t>
            </w:r>
          </w:p>
        </w:tc>
      </w:tr>
      <w:tr w14:paraId="46872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445" w:type="dxa"/>
            <w:vMerge w:val="continue"/>
            <w:vAlign w:val="center"/>
          </w:tcPr>
          <w:p w14:paraId="6AE282B9">
            <w:pPr>
              <w:widowControl/>
              <w:spacing w:line="0" w:lineRule="atLeast"/>
              <w:jc w:val="center"/>
              <w:rPr>
                <w:rFonts w:ascii="仿宋" w:hAnsi="仿宋" w:eastAsia="仿宋" w:cs="仿宋"/>
                <w:sz w:val="28"/>
                <w:szCs w:val="28"/>
              </w:rPr>
            </w:pPr>
          </w:p>
        </w:tc>
        <w:tc>
          <w:tcPr>
            <w:tcW w:w="1988" w:type="dxa"/>
            <w:vMerge w:val="continue"/>
            <w:vAlign w:val="center"/>
          </w:tcPr>
          <w:p w14:paraId="0EBDE2A1">
            <w:pPr>
              <w:widowControl/>
              <w:spacing w:line="0" w:lineRule="atLeast"/>
              <w:jc w:val="center"/>
              <w:rPr>
                <w:rFonts w:ascii="仿宋" w:hAnsi="仿宋" w:eastAsia="仿宋" w:cs="仿宋"/>
                <w:sz w:val="28"/>
                <w:szCs w:val="28"/>
              </w:rPr>
            </w:pPr>
          </w:p>
        </w:tc>
        <w:tc>
          <w:tcPr>
            <w:tcW w:w="3262" w:type="dxa"/>
            <w:vAlign w:val="center"/>
          </w:tcPr>
          <w:p w14:paraId="25ABF1D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孕产妇系统管理率</w:t>
            </w:r>
          </w:p>
        </w:tc>
        <w:tc>
          <w:tcPr>
            <w:tcW w:w="1144" w:type="dxa"/>
            <w:vAlign w:val="center"/>
          </w:tcPr>
          <w:p w14:paraId="506A67AD">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c>
          <w:tcPr>
            <w:tcW w:w="1221" w:type="dxa"/>
            <w:vAlign w:val="center"/>
          </w:tcPr>
          <w:p w14:paraId="1D184120">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r>
      <w:tr w14:paraId="22DEC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97BB58A">
            <w:pPr>
              <w:widowControl/>
              <w:spacing w:line="0" w:lineRule="atLeast"/>
              <w:jc w:val="center"/>
              <w:rPr>
                <w:rFonts w:ascii="仿宋" w:hAnsi="仿宋" w:eastAsia="仿宋" w:cs="仿宋"/>
                <w:sz w:val="28"/>
                <w:szCs w:val="28"/>
              </w:rPr>
            </w:pPr>
          </w:p>
        </w:tc>
        <w:tc>
          <w:tcPr>
            <w:tcW w:w="1988" w:type="dxa"/>
            <w:vMerge w:val="continue"/>
            <w:vAlign w:val="center"/>
          </w:tcPr>
          <w:p w14:paraId="29F03DCF">
            <w:pPr>
              <w:widowControl/>
              <w:spacing w:line="0" w:lineRule="atLeast"/>
              <w:jc w:val="center"/>
              <w:rPr>
                <w:rFonts w:ascii="仿宋" w:hAnsi="仿宋" w:eastAsia="仿宋" w:cs="仿宋"/>
                <w:sz w:val="28"/>
                <w:szCs w:val="28"/>
              </w:rPr>
            </w:pPr>
          </w:p>
        </w:tc>
        <w:tc>
          <w:tcPr>
            <w:tcW w:w="3262" w:type="dxa"/>
            <w:vAlign w:val="center"/>
          </w:tcPr>
          <w:p w14:paraId="007FFD67">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高血压患者管理人数</w:t>
            </w:r>
          </w:p>
        </w:tc>
        <w:tc>
          <w:tcPr>
            <w:tcW w:w="1144" w:type="dxa"/>
            <w:vAlign w:val="center"/>
          </w:tcPr>
          <w:p w14:paraId="49290BAB">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c>
          <w:tcPr>
            <w:tcW w:w="1221" w:type="dxa"/>
            <w:vAlign w:val="center"/>
          </w:tcPr>
          <w:p w14:paraId="46B18241">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3.78 </w:t>
            </w:r>
          </w:p>
        </w:tc>
      </w:tr>
      <w:tr w14:paraId="36D19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6D73AAD">
            <w:pPr>
              <w:widowControl/>
              <w:spacing w:line="0" w:lineRule="atLeast"/>
              <w:jc w:val="center"/>
              <w:rPr>
                <w:rFonts w:ascii="仿宋" w:hAnsi="仿宋" w:eastAsia="仿宋" w:cs="仿宋"/>
                <w:sz w:val="28"/>
                <w:szCs w:val="28"/>
              </w:rPr>
            </w:pPr>
          </w:p>
        </w:tc>
        <w:tc>
          <w:tcPr>
            <w:tcW w:w="1988" w:type="dxa"/>
            <w:vMerge w:val="continue"/>
            <w:vAlign w:val="center"/>
          </w:tcPr>
          <w:p w14:paraId="19F2EAD2">
            <w:pPr>
              <w:widowControl/>
              <w:spacing w:line="0" w:lineRule="atLeast"/>
              <w:jc w:val="center"/>
              <w:rPr>
                <w:rFonts w:ascii="仿宋" w:hAnsi="仿宋" w:eastAsia="仿宋" w:cs="仿宋"/>
                <w:sz w:val="28"/>
                <w:szCs w:val="28"/>
              </w:rPr>
            </w:pPr>
          </w:p>
        </w:tc>
        <w:tc>
          <w:tcPr>
            <w:tcW w:w="3262" w:type="dxa"/>
            <w:vAlign w:val="center"/>
          </w:tcPr>
          <w:p w14:paraId="17274A51">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宫颈癌筛查人数</w:t>
            </w:r>
          </w:p>
        </w:tc>
        <w:tc>
          <w:tcPr>
            <w:tcW w:w="1144" w:type="dxa"/>
            <w:vAlign w:val="center"/>
          </w:tcPr>
          <w:p w14:paraId="595AB89A">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c>
          <w:tcPr>
            <w:tcW w:w="1221" w:type="dxa"/>
            <w:vAlign w:val="center"/>
          </w:tcPr>
          <w:p w14:paraId="0868C81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0 </w:t>
            </w:r>
          </w:p>
        </w:tc>
      </w:tr>
      <w:tr w14:paraId="0BF75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29B0F4E">
            <w:pPr>
              <w:widowControl/>
              <w:spacing w:line="0" w:lineRule="atLeast"/>
              <w:jc w:val="center"/>
              <w:rPr>
                <w:rFonts w:ascii="仿宋" w:hAnsi="仿宋" w:eastAsia="仿宋" w:cs="仿宋"/>
                <w:sz w:val="28"/>
                <w:szCs w:val="28"/>
              </w:rPr>
            </w:pPr>
          </w:p>
        </w:tc>
        <w:tc>
          <w:tcPr>
            <w:tcW w:w="1988" w:type="dxa"/>
            <w:vMerge w:val="restart"/>
            <w:vAlign w:val="center"/>
          </w:tcPr>
          <w:p w14:paraId="31A6D6D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质量（12）</w:t>
            </w:r>
          </w:p>
        </w:tc>
        <w:tc>
          <w:tcPr>
            <w:tcW w:w="3262" w:type="dxa"/>
            <w:vAlign w:val="center"/>
          </w:tcPr>
          <w:p w14:paraId="688BBB3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居民规范化电子健康档案准确率</w:t>
            </w:r>
          </w:p>
        </w:tc>
        <w:tc>
          <w:tcPr>
            <w:tcW w:w="1144" w:type="dxa"/>
            <w:vAlign w:val="center"/>
          </w:tcPr>
          <w:p w14:paraId="539AC62F">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c>
          <w:tcPr>
            <w:tcW w:w="1221" w:type="dxa"/>
            <w:vAlign w:val="center"/>
          </w:tcPr>
          <w:p w14:paraId="73B1EDA9">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r>
      <w:tr w14:paraId="0A258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BF193A5">
            <w:pPr>
              <w:widowControl/>
              <w:spacing w:line="0" w:lineRule="atLeast"/>
              <w:jc w:val="center"/>
              <w:rPr>
                <w:rFonts w:ascii="仿宋" w:hAnsi="仿宋" w:eastAsia="仿宋" w:cs="仿宋"/>
                <w:sz w:val="28"/>
                <w:szCs w:val="28"/>
              </w:rPr>
            </w:pPr>
          </w:p>
        </w:tc>
        <w:tc>
          <w:tcPr>
            <w:tcW w:w="1988" w:type="dxa"/>
            <w:vMerge w:val="continue"/>
            <w:vAlign w:val="center"/>
          </w:tcPr>
          <w:p w14:paraId="6DB9E26D">
            <w:pPr>
              <w:widowControl/>
              <w:spacing w:line="0" w:lineRule="atLeast"/>
              <w:jc w:val="center"/>
              <w:rPr>
                <w:rFonts w:ascii="仿宋" w:hAnsi="仿宋" w:eastAsia="仿宋" w:cs="仿宋"/>
                <w:sz w:val="28"/>
                <w:szCs w:val="28"/>
              </w:rPr>
            </w:pPr>
          </w:p>
        </w:tc>
        <w:tc>
          <w:tcPr>
            <w:tcW w:w="3262" w:type="dxa"/>
            <w:vAlign w:val="center"/>
          </w:tcPr>
          <w:p w14:paraId="0F30665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严重精神障碍患者健康管理率</w:t>
            </w:r>
          </w:p>
        </w:tc>
        <w:tc>
          <w:tcPr>
            <w:tcW w:w="1144" w:type="dxa"/>
            <w:vAlign w:val="center"/>
          </w:tcPr>
          <w:p w14:paraId="4ED3AD84">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c>
          <w:tcPr>
            <w:tcW w:w="1221" w:type="dxa"/>
            <w:vAlign w:val="center"/>
          </w:tcPr>
          <w:p w14:paraId="29B46F7B">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3.70 </w:t>
            </w:r>
          </w:p>
        </w:tc>
      </w:tr>
      <w:tr w14:paraId="19E3E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C1D5FC5">
            <w:pPr>
              <w:widowControl/>
              <w:spacing w:line="0" w:lineRule="atLeast"/>
              <w:jc w:val="center"/>
              <w:rPr>
                <w:rFonts w:ascii="仿宋" w:hAnsi="仿宋" w:eastAsia="仿宋" w:cs="仿宋"/>
                <w:sz w:val="28"/>
                <w:szCs w:val="28"/>
              </w:rPr>
            </w:pPr>
          </w:p>
        </w:tc>
        <w:tc>
          <w:tcPr>
            <w:tcW w:w="1988" w:type="dxa"/>
            <w:vMerge w:val="continue"/>
            <w:vAlign w:val="center"/>
          </w:tcPr>
          <w:p w14:paraId="6DEFEAF2">
            <w:pPr>
              <w:widowControl/>
              <w:spacing w:line="0" w:lineRule="atLeast"/>
              <w:jc w:val="center"/>
              <w:rPr>
                <w:rFonts w:ascii="仿宋" w:hAnsi="仿宋" w:eastAsia="仿宋" w:cs="仿宋"/>
                <w:sz w:val="28"/>
                <w:szCs w:val="28"/>
              </w:rPr>
            </w:pPr>
          </w:p>
        </w:tc>
        <w:tc>
          <w:tcPr>
            <w:tcW w:w="3262" w:type="dxa"/>
            <w:vAlign w:val="center"/>
          </w:tcPr>
          <w:p w14:paraId="281532B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优质服务基层行目标完成情况</w:t>
            </w:r>
          </w:p>
        </w:tc>
        <w:tc>
          <w:tcPr>
            <w:tcW w:w="1144" w:type="dxa"/>
            <w:vAlign w:val="center"/>
          </w:tcPr>
          <w:p w14:paraId="50474011">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 </w:t>
            </w:r>
          </w:p>
        </w:tc>
        <w:tc>
          <w:tcPr>
            <w:tcW w:w="1221" w:type="dxa"/>
            <w:vAlign w:val="center"/>
          </w:tcPr>
          <w:p w14:paraId="58719EBF">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4</w:t>
            </w:r>
          </w:p>
        </w:tc>
      </w:tr>
      <w:tr w14:paraId="628D8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56EEBA9E">
            <w:pPr>
              <w:widowControl/>
              <w:spacing w:line="0" w:lineRule="atLeast"/>
              <w:jc w:val="center"/>
              <w:rPr>
                <w:rFonts w:ascii="仿宋" w:hAnsi="仿宋" w:eastAsia="仿宋" w:cs="仿宋"/>
                <w:sz w:val="28"/>
                <w:szCs w:val="28"/>
              </w:rPr>
            </w:pPr>
          </w:p>
        </w:tc>
        <w:tc>
          <w:tcPr>
            <w:tcW w:w="1988" w:type="dxa"/>
            <w:vMerge w:val="restart"/>
            <w:vAlign w:val="center"/>
          </w:tcPr>
          <w:p w14:paraId="1F7A3603">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时效（6）</w:t>
            </w:r>
          </w:p>
        </w:tc>
        <w:tc>
          <w:tcPr>
            <w:tcW w:w="3262" w:type="dxa"/>
            <w:vAlign w:val="center"/>
          </w:tcPr>
          <w:p w14:paraId="2E76D92C">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学生常见病监测任务完成率</w:t>
            </w:r>
          </w:p>
        </w:tc>
        <w:tc>
          <w:tcPr>
            <w:tcW w:w="1144" w:type="dxa"/>
            <w:vAlign w:val="center"/>
          </w:tcPr>
          <w:p w14:paraId="20763CC9">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1221" w:type="dxa"/>
            <w:vAlign w:val="center"/>
          </w:tcPr>
          <w:p w14:paraId="7306AFA7">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r>
      <w:tr w14:paraId="58505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9C87AA0">
            <w:pPr>
              <w:widowControl/>
              <w:spacing w:line="0" w:lineRule="atLeast"/>
              <w:jc w:val="center"/>
              <w:rPr>
                <w:rFonts w:ascii="仿宋" w:hAnsi="仿宋" w:eastAsia="仿宋" w:cs="仿宋"/>
                <w:sz w:val="28"/>
                <w:szCs w:val="28"/>
              </w:rPr>
            </w:pPr>
          </w:p>
        </w:tc>
        <w:tc>
          <w:tcPr>
            <w:tcW w:w="1988" w:type="dxa"/>
            <w:vMerge w:val="continue"/>
            <w:vAlign w:val="center"/>
          </w:tcPr>
          <w:p w14:paraId="4B152A62">
            <w:pPr>
              <w:widowControl/>
              <w:spacing w:line="0" w:lineRule="atLeast"/>
              <w:jc w:val="center"/>
              <w:rPr>
                <w:rFonts w:ascii="仿宋" w:hAnsi="仿宋" w:eastAsia="仿宋" w:cs="仿宋"/>
                <w:sz w:val="28"/>
                <w:szCs w:val="28"/>
              </w:rPr>
            </w:pPr>
          </w:p>
        </w:tc>
        <w:tc>
          <w:tcPr>
            <w:tcW w:w="3262" w:type="dxa"/>
            <w:vAlign w:val="center"/>
          </w:tcPr>
          <w:p w14:paraId="0607DEC7">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传染病和突发公共卫生事件报告率</w:t>
            </w:r>
          </w:p>
        </w:tc>
        <w:tc>
          <w:tcPr>
            <w:tcW w:w="1144" w:type="dxa"/>
            <w:vAlign w:val="center"/>
          </w:tcPr>
          <w:p w14:paraId="76FA1E5B">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1221" w:type="dxa"/>
            <w:vAlign w:val="center"/>
          </w:tcPr>
          <w:p w14:paraId="746B6D62">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3</w:t>
            </w:r>
          </w:p>
        </w:tc>
      </w:tr>
      <w:tr w14:paraId="2351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C47CA1A">
            <w:pPr>
              <w:widowControl/>
              <w:spacing w:line="0" w:lineRule="atLeast"/>
              <w:jc w:val="center"/>
              <w:rPr>
                <w:rFonts w:ascii="仿宋" w:hAnsi="仿宋" w:eastAsia="仿宋" w:cs="仿宋"/>
                <w:sz w:val="28"/>
                <w:szCs w:val="28"/>
              </w:rPr>
            </w:pPr>
          </w:p>
        </w:tc>
        <w:tc>
          <w:tcPr>
            <w:tcW w:w="1988" w:type="dxa"/>
            <w:vMerge w:val="restart"/>
            <w:vAlign w:val="center"/>
          </w:tcPr>
          <w:p w14:paraId="0921003F">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成本（12）</w:t>
            </w:r>
          </w:p>
        </w:tc>
        <w:tc>
          <w:tcPr>
            <w:tcW w:w="3262" w:type="dxa"/>
            <w:vAlign w:val="center"/>
          </w:tcPr>
          <w:p w14:paraId="52131839">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城镇独生子女保健费按标准发放</w:t>
            </w:r>
          </w:p>
        </w:tc>
        <w:tc>
          <w:tcPr>
            <w:tcW w:w="1144" w:type="dxa"/>
            <w:vAlign w:val="center"/>
          </w:tcPr>
          <w:p w14:paraId="41952A68">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1221" w:type="dxa"/>
            <w:vAlign w:val="center"/>
          </w:tcPr>
          <w:p w14:paraId="1288C09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3</w:t>
            </w:r>
          </w:p>
        </w:tc>
      </w:tr>
      <w:tr w14:paraId="66FC5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5EE1FD9">
            <w:pPr>
              <w:widowControl/>
              <w:spacing w:line="0" w:lineRule="atLeast"/>
              <w:jc w:val="center"/>
              <w:rPr>
                <w:rFonts w:ascii="仿宋" w:hAnsi="仿宋" w:eastAsia="仿宋" w:cs="仿宋"/>
                <w:sz w:val="28"/>
                <w:szCs w:val="28"/>
              </w:rPr>
            </w:pPr>
          </w:p>
        </w:tc>
        <w:tc>
          <w:tcPr>
            <w:tcW w:w="1988" w:type="dxa"/>
            <w:vMerge w:val="continue"/>
            <w:vAlign w:val="center"/>
          </w:tcPr>
          <w:p w14:paraId="6B489442">
            <w:pPr>
              <w:widowControl/>
              <w:spacing w:line="0" w:lineRule="atLeast"/>
              <w:jc w:val="center"/>
              <w:rPr>
                <w:rFonts w:ascii="仿宋" w:hAnsi="仿宋" w:eastAsia="仿宋" w:cs="仿宋"/>
                <w:sz w:val="28"/>
                <w:szCs w:val="28"/>
              </w:rPr>
            </w:pPr>
          </w:p>
        </w:tc>
        <w:tc>
          <w:tcPr>
            <w:tcW w:w="3262" w:type="dxa"/>
            <w:vAlign w:val="center"/>
          </w:tcPr>
          <w:p w14:paraId="5A6C8C4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独生子女死亡一次性抚慰金按标准发放</w:t>
            </w:r>
          </w:p>
        </w:tc>
        <w:tc>
          <w:tcPr>
            <w:tcW w:w="1144" w:type="dxa"/>
            <w:vAlign w:val="center"/>
          </w:tcPr>
          <w:p w14:paraId="114F6E92">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1221" w:type="dxa"/>
            <w:vAlign w:val="center"/>
          </w:tcPr>
          <w:p w14:paraId="2F518F89">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r>
      <w:tr w14:paraId="73C5D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79077930">
            <w:pPr>
              <w:widowControl/>
              <w:spacing w:line="0" w:lineRule="atLeast"/>
              <w:jc w:val="center"/>
              <w:rPr>
                <w:rFonts w:ascii="仿宋" w:hAnsi="仿宋" w:eastAsia="仿宋" w:cs="仿宋"/>
                <w:sz w:val="28"/>
                <w:szCs w:val="28"/>
              </w:rPr>
            </w:pPr>
          </w:p>
        </w:tc>
        <w:tc>
          <w:tcPr>
            <w:tcW w:w="1988" w:type="dxa"/>
            <w:vMerge w:val="continue"/>
            <w:vAlign w:val="center"/>
          </w:tcPr>
          <w:p w14:paraId="2EC10DC4">
            <w:pPr>
              <w:widowControl/>
              <w:spacing w:line="0" w:lineRule="atLeast"/>
              <w:jc w:val="center"/>
              <w:rPr>
                <w:rFonts w:ascii="仿宋" w:hAnsi="仿宋" w:eastAsia="仿宋" w:cs="仿宋"/>
                <w:sz w:val="28"/>
                <w:szCs w:val="28"/>
              </w:rPr>
            </w:pPr>
          </w:p>
        </w:tc>
        <w:tc>
          <w:tcPr>
            <w:tcW w:w="3262" w:type="dxa"/>
            <w:vAlign w:val="center"/>
          </w:tcPr>
          <w:p w14:paraId="3F39DE43">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到龄离岗乡村医生生活补助按标准发放</w:t>
            </w:r>
          </w:p>
        </w:tc>
        <w:tc>
          <w:tcPr>
            <w:tcW w:w="1144" w:type="dxa"/>
            <w:vAlign w:val="center"/>
          </w:tcPr>
          <w:p w14:paraId="2A1083D0">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1221" w:type="dxa"/>
            <w:vAlign w:val="center"/>
          </w:tcPr>
          <w:p w14:paraId="569D8360">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r>
      <w:tr w14:paraId="62CF0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08073D44">
            <w:pPr>
              <w:widowControl/>
              <w:spacing w:line="0" w:lineRule="atLeast"/>
              <w:jc w:val="center"/>
              <w:rPr>
                <w:rFonts w:ascii="仿宋" w:hAnsi="仿宋" w:eastAsia="仿宋" w:cs="仿宋"/>
                <w:sz w:val="28"/>
                <w:szCs w:val="28"/>
              </w:rPr>
            </w:pPr>
          </w:p>
        </w:tc>
        <w:tc>
          <w:tcPr>
            <w:tcW w:w="1988" w:type="dxa"/>
            <w:vMerge w:val="continue"/>
            <w:vAlign w:val="center"/>
          </w:tcPr>
          <w:p w14:paraId="18C61DF7">
            <w:pPr>
              <w:widowControl/>
              <w:spacing w:line="0" w:lineRule="atLeast"/>
              <w:jc w:val="center"/>
              <w:rPr>
                <w:rFonts w:ascii="仿宋" w:hAnsi="仿宋" w:eastAsia="仿宋" w:cs="仿宋"/>
                <w:sz w:val="28"/>
                <w:szCs w:val="28"/>
              </w:rPr>
            </w:pPr>
          </w:p>
        </w:tc>
        <w:tc>
          <w:tcPr>
            <w:tcW w:w="3262" w:type="dxa"/>
            <w:vAlign w:val="center"/>
          </w:tcPr>
          <w:p w14:paraId="0378526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在岗乡村医生养老补助按标准发放</w:t>
            </w:r>
          </w:p>
        </w:tc>
        <w:tc>
          <w:tcPr>
            <w:tcW w:w="1144" w:type="dxa"/>
            <w:vAlign w:val="center"/>
          </w:tcPr>
          <w:p w14:paraId="39FE8380">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1221" w:type="dxa"/>
            <w:vAlign w:val="center"/>
          </w:tcPr>
          <w:p w14:paraId="74079AEA">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r>
      <w:tr w14:paraId="4F058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3B227BB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社会效应（6）</w:t>
            </w:r>
          </w:p>
        </w:tc>
        <w:tc>
          <w:tcPr>
            <w:tcW w:w="1988" w:type="dxa"/>
            <w:vMerge w:val="restart"/>
            <w:vAlign w:val="center"/>
          </w:tcPr>
          <w:p w14:paraId="34F0B43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社会效益（6）</w:t>
            </w:r>
          </w:p>
        </w:tc>
        <w:tc>
          <w:tcPr>
            <w:tcW w:w="3262" w:type="dxa"/>
            <w:vAlign w:val="center"/>
          </w:tcPr>
          <w:p w14:paraId="113E2CD9">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健康教育与健康促进</w:t>
            </w:r>
          </w:p>
        </w:tc>
        <w:tc>
          <w:tcPr>
            <w:tcW w:w="1144" w:type="dxa"/>
            <w:vAlign w:val="center"/>
          </w:tcPr>
          <w:p w14:paraId="194B4146">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1221" w:type="dxa"/>
            <w:vAlign w:val="center"/>
          </w:tcPr>
          <w:p w14:paraId="7713D5FF">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r>
      <w:tr w14:paraId="12842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1322C60">
            <w:pPr>
              <w:widowControl/>
              <w:spacing w:line="0" w:lineRule="atLeast"/>
              <w:jc w:val="center"/>
              <w:rPr>
                <w:rFonts w:ascii="仿宋" w:hAnsi="仿宋" w:eastAsia="仿宋" w:cs="仿宋"/>
                <w:sz w:val="28"/>
                <w:szCs w:val="28"/>
              </w:rPr>
            </w:pPr>
          </w:p>
        </w:tc>
        <w:tc>
          <w:tcPr>
            <w:tcW w:w="1988" w:type="dxa"/>
            <w:vMerge w:val="continue"/>
            <w:vAlign w:val="center"/>
          </w:tcPr>
          <w:p w14:paraId="1CDD16C6">
            <w:pPr>
              <w:widowControl/>
              <w:spacing w:line="0" w:lineRule="atLeast"/>
              <w:jc w:val="center"/>
              <w:rPr>
                <w:rFonts w:ascii="仿宋" w:hAnsi="仿宋" w:eastAsia="仿宋" w:cs="仿宋"/>
                <w:sz w:val="28"/>
                <w:szCs w:val="28"/>
              </w:rPr>
            </w:pPr>
          </w:p>
        </w:tc>
        <w:tc>
          <w:tcPr>
            <w:tcW w:w="3262" w:type="dxa"/>
            <w:vAlign w:val="center"/>
          </w:tcPr>
          <w:p w14:paraId="68BF70BC">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居民健康素养水平</w:t>
            </w:r>
          </w:p>
        </w:tc>
        <w:tc>
          <w:tcPr>
            <w:tcW w:w="1144" w:type="dxa"/>
            <w:vAlign w:val="center"/>
          </w:tcPr>
          <w:p w14:paraId="1354CF17">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1221" w:type="dxa"/>
            <w:vAlign w:val="center"/>
          </w:tcPr>
          <w:p w14:paraId="37996352">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r>
      <w:tr w14:paraId="5000C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723D75C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可持续发展能力</w:t>
            </w:r>
            <w:r>
              <w:rPr>
                <w:rFonts w:hint="eastAsia" w:ascii="仿宋" w:hAnsi="仿宋" w:eastAsia="仿宋" w:cs="仿宋"/>
                <w:kern w:val="0"/>
                <w:sz w:val="28"/>
                <w:szCs w:val="28"/>
                <w:lang w:bidi="ar"/>
              </w:rPr>
              <w:br w:type="textWrapping"/>
            </w:r>
            <w:r>
              <w:rPr>
                <w:rFonts w:hint="eastAsia" w:ascii="仿宋" w:hAnsi="仿宋" w:eastAsia="仿宋" w:cs="仿宋"/>
                <w:kern w:val="0"/>
                <w:sz w:val="28"/>
                <w:szCs w:val="28"/>
                <w:lang w:bidi="ar"/>
              </w:rPr>
              <w:t>(6)</w:t>
            </w:r>
          </w:p>
        </w:tc>
        <w:tc>
          <w:tcPr>
            <w:tcW w:w="1988" w:type="dxa"/>
            <w:vMerge w:val="restart"/>
            <w:vAlign w:val="center"/>
          </w:tcPr>
          <w:p w14:paraId="3ADD3C2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体制机制改革(2)</w:t>
            </w:r>
          </w:p>
        </w:tc>
        <w:tc>
          <w:tcPr>
            <w:tcW w:w="3262" w:type="dxa"/>
            <w:vAlign w:val="center"/>
          </w:tcPr>
          <w:p w14:paraId="54594F4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服务体制改革成效</w:t>
            </w:r>
          </w:p>
        </w:tc>
        <w:tc>
          <w:tcPr>
            <w:tcW w:w="1144" w:type="dxa"/>
            <w:vAlign w:val="center"/>
          </w:tcPr>
          <w:p w14:paraId="0142351A">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63FBDAAB">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3B939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84A118B">
            <w:pPr>
              <w:widowControl/>
              <w:spacing w:line="0" w:lineRule="atLeast"/>
              <w:jc w:val="center"/>
              <w:rPr>
                <w:rFonts w:ascii="仿宋" w:hAnsi="仿宋" w:eastAsia="仿宋" w:cs="仿宋"/>
                <w:sz w:val="28"/>
                <w:szCs w:val="28"/>
              </w:rPr>
            </w:pPr>
          </w:p>
        </w:tc>
        <w:tc>
          <w:tcPr>
            <w:tcW w:w="1988" w:type="dxa"/>
            <w:vMerge w:val="continue"/>
            <w:vAlign w:val="center"/>
          </w:tcPr>
          <w:p w14:paraId="5C8FCB73">
            <w:pPr>
              <w:widowControl/>
              <w:spacing w:line="0" w:lineRule="atLeast"/>
              <w:jc w:val="center"/>
              <w:rPr>
                <w:rFonts w:ascii="仿宋" w:hAnsi="仿宋" w:eastAsia="仿宋" w:cs="仿宋"/>
                <w:sz w:val="28"/>
                <w:szCs w:val="28"/>
              </w:rPr>
            </w:pPr>
          </w:p>
        </w:tc>
        <w:tc>
          <w:tcPr>
            <w:tcW w:w="3262" w:type="dxa"/>
            <w:vAlign w:val="center"/>
          </w:tcPr>
          <w:p w14:paraId="137CDF5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行政管理体制改革成效</w:t>
            </w:r>
          </w:p>
        </w:tc>
        <w:tc>
          <w:tcPr>
            <w:tcW w:w="1144" w:type="dxa"/>
            <w:vAlign w:val="center"/>
          </w:tcPr>
          <w:p w14:paraId="38909094">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1D07494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r>
      <w:tr w14:paraId="1F612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2961C375">
            <w:pPr>
              <w:widowControl/>
              <w:spacing w:line="0" w:lineRule="atLeast"/>
              <w:jc w:val="center"/>
              <w:rPr>
                <w:rFonts w:ascii="仿宋" w:hAnsi="仿宋" w:eastAsia="仿宋" w:cs="仿宋"/>
                <w:sz w:val="28"/>
                <w:szCs w:val="28"/>
              </w:rPr>
            </w:pPr>
          </w:p>
        </w:tc>
        <w:tc>
          <w:tcPr>
            <w:tcW w:w="1988" w:type="dxa"/>
            <w:vMerge w:val="restart"/>
            <w:vAlign w:val="center"/>
          </w:tcPr>
          <w:p w14:paraId="269432E7">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 人才支撑（2)</w:t>
            </w:r>
          </w:p>
        </w:tc>
        <w:tc>
          <w:tcPr>
            <w:tcW w:w="3262" w:type="dxa"/>
            <w:vAlign w:val="center"/>
          </w:tcPr>
          <w:p w14:paraId="1E7181C4">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业务学习与培训完成率</w:t>
            </w:r>
          </w:p>
        </w:tc>
        <w:tc>
          <w:tcPr>
            <w:tcW w:w="1144" w:type="dxa"/>
            <w:vAlign w:val="center"/>
          </w:tcPr>
          <w:p w14:paraId="038BF860">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0.5 </w:t>
            </w:r>
          </w:p>
        </w:tc>
        <w:tc>
          <w:tcPr>
            <w:tcW w:w="1221" w:type="dxa"/>
            <w:vAlign w:val="center"/>
          </w:tcPr>
          <w:p w14:paraId="2BC428E2">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0.5 </w:t>
            </w:r>
          </w:p>
        </w:tc>
      </w:tr>
      <w:tr w14:paraId="1C702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6E273184">
            <w:pPr>
              <w:widowControl/>
              <w:spacing w:line="0" w:lineRule="atLeast"/>
              <w:jc w:val="center"/>
              <w:rPr>
                <w:rFonts w:ascii="仿宋" w:hAnsi="仿宋" w:eastAsia="仿宋" w:cs="仿宋"/>
                <w:sz w:val="28"/>
                <w:szCs w:val="28"/>
              </w:rPr>
            </w:pPr>
          </w:p>
        </w:tc>
        <w:tc>
          <w:tcPr>
            <w:tcW w:w="1988" w:type="dxa"/>
            <w:vMerge w:val="continue"/>
            <w:vAlign w:val="center"/>
          </w:tcPr>
          <w:p w14:paraId="70A3948E">
            <w:pPr>
              <w:widowControl/>
              <w:spacing w:line="0" w:lineRule="atLeast"/>
              <w:jc w:val="center"/>
              <w:rPr>
                <w:rFonts w:ascii="仿宋" w:hAnsi="仿宋" w:eastAsia="仿宋" w:cs="仿宋"/>
                <w:sz w:val="28"/>
                <w:szCs w:val="28"/>
              </w:rPr>
            </w:pPr>
          </w:p>
        </w:tc>
        <w:tc>
          <w:tcPr>
            <w:tcW w:w="3262" w:type="dxa"/>
            <w:vAlign w:val="center"/>
          </w:tcPr>
          <w:p w14:paraId="4E86F25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干部队伍体系建设规划情况</w:t>
            </w:r>
          </w:p>
        </w:tc>
        <w:tc>
          <w:tcPr>
            <w:tcW w:w="1144" w:type="dxa"/>
            <w:vAlign w:val="center"/>
          </w:tcPr>
          <w:p w14:paraId="2A0AC21A">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0.5 </w:t>
            </w:r>
          </w:p>
        </w:tc>
        <w:tc>
          <w:tcPr>
            <w:tcW w:w="1221" w:type="dxa"/>
            <w:vAlign w:val="center"/>
          </w:tcPr>
          <w:p w14:paraId="79C52D84">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0.5 </w:t>
            </w:r>
          </w:p>
        </w:tc>
      </w:tr>
      <w:tr w14:paraId="49149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16417B6F">
            <w:pPr>
              <w:widowControl/>
              <w:spacing w:line="0" w:lineRule="atLeast"/>
              <w:jc w:val="center"/>
              <w:rPr>
                <w:rFonts w:ascii="仿宋" w:hAnsi="仿宋" w:eastAsia="仿宋" w:cs="仿宋"/>
                <w:sz w:val="28"/>
                <w:szCs w:val="28"/>
              </w:rPr>
            </w:pPr>
          </w:p>
        </w:tc>
        <w:tc>
          <w:tcPr>
            <w:tcW w:w="1988" w:type="dxa"/>
            <w:vMerge w:val="continue"/>
            <w:vAlign w:val="center"/>
          </w:tcPr>
          <w:p w14:paraId="6929120F">
            <w:pPr>
              <w:widowControl/>
              <w:spacing w:line="0" w:lineRule="atLeast"/>
              <w:jc w:val="center"/>
              <w:rPr>
                <w:rFonts w:ascii="仿宋" w:hAnsi="仿宋" w:eastAsia="仿宋" w:cs="仿宋"/>
                <w:sz w:val="28"/>
                <w:szCs w:val="28"/>
              </w:rPr>
            </w:pPr>
          </w:p>
        </w:tc>
        <w:tc>
          <w:tcPr>
            <w:tcW w:w="3262" w:type="dxa"/>
            <w:vAlign w:val="center"/>
          </w:tcPr>
          <w:p w14:paraId="67A6C74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高学历，高层次人才储备率</w:t>
            </w:r>
          </w:p>
        </w:tc>
        <w:tc>
          <w:tcPr>
            <w:tcW w:w="1144" w:type="dxa"/>
            <w:vAlign w:val="center"/>
          </w:tcPr>
          <w:p w14:paraId="0436E17B">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w:t>
            </w:r>
          </w:p>
        </w:tc>
        <w:tc>
          <w:tcPr>
            <w:tcW w:w="1221" w:type="dxa"/>
            <w:vAlign w:val="center"/>
          </w:tcPr>
          <w:p w14:paraId="4874EF7E">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0</w:t>
            </w:r>
          </w:p>
        </w:tc>
      </w:tr>
      <w:tr w14:paraId="6D3D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36E6353B">
            <w:pPr>
              <w:widowControl/>
              <w:spacing w:line="0" w:lineRule="atLeast"/>
              <w:jc w:val="center"/>
              <w:rPr>
                <w:rFonts w:ascii="仿宋" w:hAnsi="仿宋" w:eastAsia="仿宋" w:cs="仿宋"/>
                <w:sz w:val="28"/>
                <w:szCs w:val="28"/>
              </w:rPr>
            </w:pPr>
          </w:p>
        </w:tc>
        <w:tc>
          <w:tcPr>
            <w:tcW w:w="1988" w:type="dxa"/>
            <w:vAlign w:val="center"/>
          </w:tcPr>
          <w:p w14:paraId="3894EB9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 科技支撑（2)</w:t>
            </w:r>
          </w:p>
        </w:tc>
        <w:tc>
          <w:tcPr>
            <w:tcW w:w="3262" w:type="dxa"/>
            <w:vAlign w:val="center"/>
          </w:tcPr>
          <w:p w14:paraId="441F649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信息化建设情况</w:t>
            </w:r>
          </w:p>
        </w:tc>
        <w:tc>
          <w:tcPr>
            <w:tcW w:w="1144" w:type="dxa"/>
            <w:vAlign w:val="center"/>
          </w:tcPr>
          <w:p w14:paraId="0363A392">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c>
          <w:tcPr>
            <w:tcW w:w="1221" w:type="dxa"/>
            <w:vAlign w:val="center"/>
          </w:tcPr>
          <w:p w14:paraId="2086C4EC">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r>
      <w:tr w14:paraId="3D0A0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restart"/>
            <w:vAlign w:val="center"/>
          </w:tcPr>
          <w:p w14:paraId="67326522">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满意度(4）</w:t>
            </w:r>
          </w:p>
        </w:tc>
        <w:tc>
          <w:tcPr>
            <w:tcW w:w="1988" w:type="dxa"/>
            <w:vAlign w:val="center"/>
          </w:tcPr>
          <w:p w14:paraId="135EC36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服务对象满意度（2)</w:t>
            </w:r>
          </w:p>
        </w:tc>
        <w:tc>
          <w:tcPr>
            <w:tcW w:w="3262" w:type="dxa"/>
            <w:vAlign w:val="center"/>
          </w:tcPr>
          <w:p w14:paraId="357B68D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受众人员满意度</w:t>
            </w:r>
          </w:p>
        </w:tc>
        <w:tc>
          <w:tcPr>
            <w:tcW w:w="1144" w:type="dxa"/>
            <w:vAlign w:val="center"/>
          </w:tcPr>
          <w:p w14:paraId="5A72B855">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w:t>
            </w:r>
          </w:p>
        </w:tc>
        <w:tc>
          <w:tcPr>
            <w:tcW w:w="1221" w:type="dxa"/>
            <w:vAlign w:val="center"/>
          </w:tcPr>
          <w:p w14:paraId="7E166ABE">
            <w:pPr>
              <w:widowControl/>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1.85 </w:t>
            </w:r>
          </w:p>
        </w:tc>
      </w:tr>
      <w:tr w14:paraId="30198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5" w:type="dxa"/>
            <w:vMerge w:val="continue"/>
            <w:vAlign w:val="center"/>
          </w:tcPr>
          <w:p w14:paraId="43E36736">
            <w:pPr>
              <w:widowControl/>
              <w:spacing w:line="0" w:lineRule="atLeast"/>
              <w:jc w:val="center"/>
              <w:rPr>
                <w:rFonts w:ascii="仿宋" w:hAnsi="仿宋" w:eastAsia="仿宋" w:cs="仿宋"/>
                <w:kern w:val="0"/>
                <w:sz w:val="28"/>
                <w:szCs w:val="28"/>
                <w:lang w:bidi="ar"/>
              </w:rPr>
            </w:pPr>
          </w:p>
        </w:tc>
        <w:tc>
          <w:tcPr>
            <w:tcW w:w="1988" w:type="dxa"/>
            <w:vAlign w:val="center"/>
          </w:tcPr>
          <w:p w14:paraId="05FB6A52">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联系部门满意度（2）</w:t>
            </w:r>
          </w:p>
        </w:tc>
        <w:tc>
          <w:tcPr>
            <w:tcW w:w="3262" w:type="dxa"/>
            <w:vAlign w:val="center"/>
          </w:tcPr>
          <w:p w14:paraId="192A8E41">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其他相关部门满意度</w:t>
            </w:r>
          </w:p>
        </w:tc>
        <w:tc>
          <w:tcPr>
            <w:tcW w:w="1144" w:type="dxa"/>
            <w:vAlign w:val="center"/>
          </w:tcPr>
          <w:p w14:paraId="10A00B83">
            <w:pPr>
              <w:widowControl/>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2</w:t>
            </w:r>
          </w:p>
        </w:tc>
        <w:tc>
          <w:tcPr>
            <w:tcW w:w="1221" w:type="dxa"/>
            <w:vAlign w:val="center"/>
          </w:tcPr>
          <w:p w14:paraId="66E66765">
            <w:pPr>
              <w:widowControl/>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1.93 </w:t>
            </w:r>
          </w:p>
        </w:tc>
      </w:tr>
      <w:tr w14:paraId="31F1B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6695" w:type="dxa"/>
            <w:gridSpan w:val="3"/>
            <w:vAlign w:val="center"/>
          </w:tcPr>
          <w:p w14:paraId="5D62D303">
            <w:pPr>
              <w:widowControl/>
              <w:spacing w:line="0" w:lineRule="atLeast"/>
              <w:jc w:val="center"/>
              <w:rPr>
                <w:rFonts w:hAnsi="仿宋_GB2312" w:eastAsia="仿宋" w:cs="仿宋"/>
                <w:kern w:val="0"/>
                <w:sz w:val="28"/>
                <w:szCs w:val="28"/>
                <w:lang w:bidi="ar"/>
              </w:rPr>
            </w:pPr>
            <w:r>
              <w:rPr>
                <w:rFonts w:hAnsi="仿宋_GB2312" w:eastAsia="仿宋" w:cs="仿宋"/>
                <w:sz w:val="28"/>
                <w:szCs w:val="28"/>
              </w:rPr>
              <w:t>合计</w:t>
            </w:r>
          </w:p>
        </w:tc>
        <w:tc>
          <w:tcPr>
            <w:tcW w:w="1144" w:type="dxa"/>
            <w:vAlign w:val="center"/>
          </w:tcPr>
          <w:p w14:paraId="3345FC3F">
            <w:pPr>
              <w:widowControl/>
              <w:spacing w:line="0" w:lineRule="atLeast"/>
              <w:jc w:val="center"/>
              <w:rPr>
                <w:rFonts w:hAnsi="仿宋_GB2312" w:eastAsia="仿宋" w:cs="仿宋"/>
                <w:kern w:val="0"/>
                <w:sz w:val="28"/>
                <w:szCs w:val="28"/>
                <w:lang w:bidi="ar"/>
              </w:rPr>
            </w:pPr>
            <w:r>
              <w:rPr>
                <w:rFonts w:hAnsi="仿宋_GB2312" w:eastAsia="仿宋" w:cs="仿宋"/>
                <w:sz w:val="28"/>
                <w:szCs w:val="28"/>
              </w:rPr>
              <w:t>100</w:t>
            </w:r>
          </w:p>
        </w:tc>
        <w:tc>
          <w:tcPr>
            <w:tcW w:w="1221" w:type="dxa"/>
            <w:vAlign w:val="center"/>
          </w:tcPr>
          <w:p w14:paraId="1EEAD4C8">
            <w:pPr>
              <w:widowControl/>
              <w:spacing w:line="0" w:lineRule="atLeast"/>
              <w:jc w:val="center"/>
              <w:rPr>
                <w:rFonts w:hAnsi="仿宋_GB2312" w:eastAsia="仿宋" w:cs="仿宋"/>
                <w:kern w:val="0"/>
                <w:sz w:val="28"/>
                <w:szCs w:val="28"/>
                <w:highlight w:val="cyan"/>
                <w:lang w:bidi="ar"/>
              </w:rPr>
            </w:pPr>
            <w:r>
              <w:rPr>
                <w:rFonts w:hint="eastAsia" w:hAnsi="仿宋_GB2312" w:eastAsia="仿宋" w:cs="仿宋"/>
                <w:sz w:val="28"/>
                <w:szCs w:val="28"/>
              </w:rPr>
              <w:t>90</w:t>
            </w:r>
            <w:r>
              <w:rPr>
                <w:rFonts w:hAnsi="仿宋_GB2312" w:eastAsia="仿宋" w:cs="仿宋"/>
                <w:sz w:val="28"/>
                <w:szCs w:val="28"/>
              </w:rPr>
              <w:t>.</w:t>
            </w:r>
            <w:r>
              <w:rPr>
                <w:rFonts w:hint="eastAsia" w:hAnsi="仿宋_GB2312" w:eastAsia="仿宋" w:cs="仿宋"/>
                <w:sz w:val="28"/>
                <w:szCs w:val="28"/>
              </w:rPr>
              <w:t>50</w:t>
            </w:r>
          </w:p>
        </w:tc>
      </w:tr>
      <w:bookmarkEnd w:id="0"/>
    </w:tbl>
    <w:p w14:paraId="205DB5C2">
      <w:pPr>
        <w:pStyle w:val="4"/>
        <w:spacing w:line="560" w:lineRule="exact"/>
        <w:ind w:firstLine="633"/>
        <w:rPr>
          <w:rFonts w:ascii="Times New Roman" w:hAnsi="Times New Roman" w:eastAsia="楷体"/>
          <w:sz w:val="32"/>
        </w:rPr>
      </w:pPr>
      <w:bookmarkStart w:id="1" w:name="_Hlk40306860"/>
      <w:r>
        <w:rPr>
          <w:rFonts w:ascii="Times New Roman" w:hAnsi="Times New Roman" w:eastAsia="楷体"/>
          <w:sz w:val="32"/>
        </w:rPr>
        <w:t>（二）绩效评价指标情况</w:t>
      </w:r>
    </w:p>
    <w:p w14:paraId="461297F6">
      <w:pPr>
        <w:pStyle w:val="4"/>
        <w:spacing w:line="560" w:lineRule="exact"/>
        <w:ind w:firstLine="633"/>
        <w:rPr>
          <w:rFonts w:ascii="Times New Roman" w:hAnsi="Times New Roman"/>
          <w:kern w:val="2"/>
          <w:sz w:val="32"/>
        </w:rPr>
      </w:pPr>
      <w:r>
        <w:rPr>
          <w:rFonts w:ascii="Times New Roman" w:hAnsi="Times New Roman"/>
          <w:kern w:val="2"/>
          <w:sz w:val="32"/>
        </w:rPr>
        <w:t>1、</w:t>
      </w:r>
      <w:r>
        <w:rPr>
          <w:rFonts w:hint="eastAsia" w:ascii="Times New Roman" w:hAnsi="Times New Roman"/>
          <w:kern w:val="2"/>
          <w:sz w:val="32"/>
        </w:rPr>
        <w:t>运行成本。权重8分，</w:t>
      </w:r>
      <w:r>
        <w:rPr>
          <w:rFonts w:ascii="Times New Roman" w:hAnsi="Times New Roman"/>
          <w:kern w:val="2"/>
          <w:sz w:val="32"/>
        </w:rPr>
        <w:t>得分</w:t>
      </w:r>
      <w:r>
        <w:rPr>
          <w:rFonts w:hint="eastAsia" w:ascii="Times New Roman" w:hAnsi="Times New Roman"/>
          <w:kern w:val="2"/>
          <w:sz w:val="32"/>
        </w:rPr>
        <w:t>7</w:t>
      </w:r>
      <w:r>
        <w:rPr>
          <w:rFonts w:ascii="Times New Roman" w:hAnsi="Times New Roman"/>
          <w:kern w:val="2"/>
          <w:sz w:val="32"/>
        </w:rPr>
        <w:t>分，</w:t>
      </w:r>
      <w:r>
        <w:rPr>
          <w:rFonts w:hint="eastAsia" w:ascii="Times New Roman" w:hAnsi="Times New Roman"/>
          <w:kern w:val="2"/>
          <w:sz w:val="32"/>
        </w:rPr>
        <w:t>扣1</w:t>
      </w:r>
      <w:r>
        <w:rPr>
          <w:rFonts w:ascii="Times New Roman" w:hAnsi="Times New Roman"/>
          <w:kern w:val="2"/>
          <w:sz w:val="32"/>
        </w:rPr>
        <w:t>分</w:t>
      </w:r>
    </w:p>
    <w:p w14:paraId="525C92F4">
      <w:pPr>
        <w:spacing w:line="560" w:lineRule="exact"/>
        <w:ind w:firstLine="632" w:firstLineChars="200"/>
        <w:rPr>
          <w:lang w:eastAsia="zh-Hans"/>
        </w:rPr>
      </w:pPr>
      <w:r>
        <w:rPr>
          <w:rFonts w:hint="eastAsia"/>
          <w:lang w:eastAsia="zh-CN"/>
        </w:rPr>
        <w:t>“三公”经费</w:t>
      </w:r>
      <w:r>
        <w:rPr>
          <w:rFonts w:hint="eastAsia"/>
        </w:rPr>
        <w:t>变动率扣1分，主要扣分原因是本年三公经费超过上年248.07%</w:t>
      </w:r>
      <w:r>
        <w:rPr>
          <w:lang w:eastAsia="zh-Hans"/>
        </w:rPr>
        <w:t>。</w:t>
      </w:r>
    </w:p>
    <w:p w14:paraId="447E8BA2">
      <w:pPr>
        <w:pStyle w:val="4"/>
        <w:spacing w:line="560" w:lineRule="exact"/>
        <w:ind w:firstLine="633"/>
        <w:rPr>
          <w:rFonts w:ascii="Times New Roman" w:hAnsi="Times New Roman"/>
          <w:kern w:val="2"/>
          <w:sz w:val="32"/>
        </w:rPr>
      </w:pPr>
      <w:r>
        <w:rPr>
          <w:rFonts w:ascii="Times New Roman" w:hAnsi="Times New Roman"/>
          <w:kern w:val="2"/>
          <w:sz w:val="32"/>
        </w:rPr>
        <w:t>2、</w:t>
      </w:r>
      <w:r>
        <w:rPr>
          <w:rFonts w:hint="eastAsia" w:ascii="Times New Roman" w:hAnsi="Times New Roman"/>
          <w:kern w:val="2"/>
          <w:sz w:val="32"/>
        </w:rPr>
        <w:t>管理效率。权重22分，</w:t>
      </w:r>
      <w:r>
        <w:rPr>
          <w:rFonts w:ascii="Times New Roman" w:hAnsi="Times New Roman"/>
          <w:kern w:val="2"/>
          <w:sz w:val="32"/>
        </w:rPr>
        <w:t>得分</w:t>
      </w:r>
      <w:r>
        <w:rPr>
          <w:rFonts w:hint="eastAsia" w:ascii="Times New Roman" w:hAnsi="Times New Roman"/>
          <w:kern w:val="2"/>
          <w:sz w:val="32"/>
        </w:rPr>
        <w:t>19.7</w:t>
      </w:r>
      <w:r>
        <w:rPr>
          <w:rFonts w:ascii="Times New Roman" w:hAnsi="Times New Roman"/>
          <w:kern w:val="2"/>
          <w:sz w:val="32"/>
        </w:rPr>
        <w:t>分，扣</w:t>
      </w:r>
      <w:r>
        <w:rPr>
          <w:rFonts w:hint="eastAsia" w:ascii="Times New Roman" w:hAnsi="Times New Roman"/>
          <w:kern w:val="2"/>
          <w:sz w:val="32"/>
        </w:rPr>
        <w:t>2.3</w:t>
      </w:r>
      <w:r>
        <w:rPr>
          <w:rFonts w:ascii="Times New Roman" w:hAnsi="Times New Roman"/>
          <w:kern w:val="2"/>
          <w:sz w:val="32"/>
        </w:rPr>
        <w:t>分</w:t>
      </w:r>
    </w:p>
    <w:p w14:paraId="45BF9C65">
      <w:pPr>
        <w:pStyle w:val="5"/>
        <w:ind w:firstLine="632" w:firstLineChars="200"/>
        <w:rPr>
          <w:lang w:eastAsia="zh-Hans"/>
        </w:rPr>
      </w:pPr>
      <w:r>
        <w:rPr>
          <w:rFonts w:hint="eastAsia" w:ascii="Times New Roman"/>
          <w:szCs w:val="32"/>
        </w:rPr>
        <w:t>预算调整率</w:t>
      </w:r>
      <w:r>
        <w:rPr>
          <w:rFonts w:ascii="Times New Roman"/>
          <w:szCs w:val="32"/>
        </w:rPr>
        <w:t>扣</w:t>
      </w:r>
      <w:r>
        <w:rPr>
          <w:rFonts w:hint="eastAsia" w:ascii="Times New Roman"/>
          <w:szCs w:val="32"/>
        </w:rPr>
        <w:t>2</w:t>
      </w:r>
      <w:r>
        <w:rPr>
          <w:rFonts w:ascii="Times New Roman"/>
          <w:szCs w:val="32"/>
        </w:rPr>
        <w:t>分，主要扣分原因是</w:t>
      </w:r>
      <w:r>
        <w:rPr>
          <w:rFonts w:hint="eastAsia" w:ascii="Times New Roman"/>
          <w:szCs w:val="32"/>
        </w:rPr>
        <w:t>2022年预算调整率为246.47%</w:t>
      </w:r>
      <w:r>
        <w:rPr>
          <w:rFonts w:ascii="Times New Roman"/>
          <w:szCs w:val="32"/>
          <w:lang w:eastAsia="zh-Hans"/>
        </w:rPr>
        <w:t>。</w:t>
      </w:r>
    </w:p>
    <w:p w14:paraId="62DFA0A9">
      <w:pPr>
        <w:pStyle w:val="5"/>
        <w:ind w:firstLine="632" w:firstLineChars="200"/>
        <w:rPr>
          <w:rFonts w:ascii="Times New Roman"/>
          <w:szCs w:val="32"/>
        </w:rPr>
      </w:pPr>
      <w:r>
        <w:rPr>
          <w:rFonts w:hint="eastAsia" w:ascii="Times New Roman"/>
          <w:szCs w:val="32"/>
        </w:rPr>
        <w:t>资产管理规范性扣0.3分，主要扣分原因是单位未定期对固定资产进行盘点。</w:t>
      </w:r>
    </w:p>
    <w:p w14:paraId="382368A8">
      <w:pPr>
        <w:pStyle w:val="4"/>
        <w:spacing w:line="560" w:lineRule="exact"/>
        <w:ind w:firstLine="633"/>
        <w:rPr>
          <w:rFonts w:ascii="Times New Roman" w:hAnsi="Times New Roman"/>
          <w:kern w:val="2"/>
          <w:sz w:val="32"/>
        </w:rPr>
      </w:pPr>
      <w:r>
        <w:rPr>
          <w:rFonts w:ascii="Times New Roman" w:hAnsi="Times New Roman"/>
          <w:kern w:val="2"/>
          <w:sz w:val="32"/>
        </w:rPr>
        <w:t>3、</w:t>
      </w:r>
      <w:r>
        <w:rPr>
          <w:rFonts w:hint="eastAsia" w:ascii="Times New Roman" w:hAnsi="Times New Roman"/>
          <w:kern w:val="2"/>
          <w:sz w:val="32"/>
        </w:rPr>
        <w:t>履职效能。权重54分，得分49.02</w:t>
      </w:r>
      <w:r>
        <w:rPr>
          <w:rFonts w:ascii="Times New Roman" w:hAnsi="Times New Roman"/>
          <w:kern w:val="2"/>
          <w:sz w:val="32"/>
        </w:rPr>
        <w:t>分，扣</w:t>
      </w:r>
      <w:r>
        <w:rPr>
          <w:rFonts w:hint="eastAsia" w:ascii="Times New Roman" w:hAnsi="Times New Roman"/>
          <w:kern w:val="2"/>
          <w:sz w:val="32"/>
        </w:rPr>
        <w:t>4.98</w:t>
      </w:r>
      <w:r>
        <w:rPr>
          <w:rFonts w:ascii="Times New Roman" w:hAnsi="Times New Roman"/>
          <w:kern w:val="2"/>
          <w:sz w:val="32"/>
        </w:rPr>
        <w:t>分</w:t>
      </w:r>
    </w:p>
    <w:p w14:paraId="4172D923">
      <w:pPr>
        <w:spacing w:line="560" w:lineRule="exact"/>
        <w:ind w:firstLine="632" w:firstLineChars="200"/>
        <w:rPr>
          <w:rFonts w:ascii="Times New Roman"/>
          <w:szCs w:val="32"/>
        </w:rPr>
      </w:pPr>
      <w:r>
        <w:rPr>
          <w:rFonts w:hint="eastAsia" w:ascii="Times New Roman"/>
          <w:szCs w:val="32"/>
        </w:rPr>
        <w:t>0－6岁儿童眼保健和视力检查覆盖率</w:t>
      </w:r>
      <w:r>
        <w:rPr>
          <w:rFonts w:ascii="Times New Roman"/>
          <w:szCs w:val="32"/>
        </w:rPr>
        <w:t>扣</w:t>
      </w:r>
      <w:r>
        <w:rPr>
          <w:rFonts w:hint="eastAsia" w:ascii="Times New Roman"/>
          <w:szCs w:val="32"/>
        </w:rPr>
        <w:t>0.46</w:t>
      </w:r>
      <w:r>
        <w:rPr>
          <w:rFonts w:ascii="Times New Roman"/>
          <w:szCs w:val="32"/>
        </w:rPr>
        <w:t>分，主要扣分原因是</w:t>
      </w:r>
      <w:r>
        <w:rPr>
          <w:rFonts w:hint="eastAsia" w:ascii="Times New Roman"/>
          <w:szCs w:val="32"/>
        </w:rPr>
        <w:t>覆盖率目标为90%以上，实际只完成87.69%。</w:t>
      </w:r>
    </w:p>
    <w:p w14:paraId="6E00E0F7">
      <w:pPr>
        <w:spacing w:line="560" w:lineRule="exact"/>
        <w:ind w:firstLine="632" w:firstLineChars="200"/>
        <w:rPr>
          <w:rFonts w:ascii="Times New Roman"/>
          <w:szCs w:val="32"/>
          <w:lang w:eastAsia="zh-Hans"/>
        </w:rPr>
      </w:pPr>
      <w:r>
        <w:rPr>
          <w:rFonts w:hint="eastAsia" w:ascii="Times New Roman"/>
          <w:szCs w:val="32"/>
        </w:rPr>
        <w:t>高血压患者管理人数</w:t>
      </w:r>
      <w:r>
        <w:rPr>
          <w:rFonts w:ascii="Times New Roman"/>
          <w:szCs w:val="32"/>
        </w:rPr>
        <w:t>扣</w:t>
      </w:r>
      <w:r>
        <w:rPr>
          <w:rFonts w:hint="eastAsia" w:ascii="Times New Roman"/>
          <w:szCs w:val="32"/>
        </w:rPr>
        <w:t>0.22</w:t>
      </w:r>
      <w:r>
        <w:rPr>
          <w:rFonts w:ascii="Times New Roman"/>
          <w:szCs w:val="32"/>
        </w:rPr>
        <w:t>分，主要扣分原因是</w:t>
      </w:r>
      <w:r>
        <w:rPr>
          <w:rFonts w:hint="eastAsia" w:ascii="Times New Roman"/>
          <w:szCs w:val="32"/>
        </w:rPr>
        <w:t>管理任务数为16210人，实际只完成16035人</w:t>
      </w:r>
      <w:r>
        <w:rPr>
          <w:rFonts w:ascii="Times New Roman"/>
          <w:szCs w:val="32"/>
          <w:lang w:eastAsia="zh-Hans"/>
        </w:rPr>
        <w:t>。</w:t>
      </w:r>
    </w:p>
    <w:p w14:paraId="32C347FC">
      <w:pPr>
        <w:spacing w:line="560" w:lineRule="exact"/>
        <w:ind w:firstLine="632" w:firstLineChars="200"/>
        <w:rPr>
          <w:rFonts w:ascii="Times New Roman"/>
          <w:szCs w:val="32"/>
        </w:rPr>
      </w:pPr>
      <w:r>
        <w:rPr>
          <w:rFonts w:hint="eastAsia" w:ascii="Times New Roman"/>
          <w:szCs w:val="32"/>
        </w:rPr>
        <w:t>宫颈癌筛查人数</w:t>
      </w:r>
      <w:r>
        <w:rPr>
          <w:rFonts w:ascii="Times New Roman"/>
          <w:szCs w:val="32"/>
        </w:rPr>
        <w:t>扣</w:t>
      </w:r>
      <w:r>
        <w:rPr>
          <w:rFonts w:hint="eastAsia" w:ascii="Times New Roman"/>
          <w:szCs w:val="32"/>
        </w:rPr>
        <w:t>4</w:t>
      </w:r>
      <w:r>
        <w:rPr>
          <w:rFonts w:ascii="Times New Roman"/>
          <w:szCs w:val="32"/>
        </w:rPr>
        <w:t>分，主要扣分原因是</w:t>
      </w:r>
      <w:r>
        <w:rPr>
          <w:rFonts w:hint="eastAsia" w:ascii="Times New Roman"/>
          <w:szCs w:val="32"/>
        </w:rPr>
        <w:t>筛查任务数9514人，实际只完成3252人</w:t>
      </w:r>
      <w:r>
        <w:rPr>
          <w:rFonts w:ascii="Times New Roman"/>
          <w:szCs w:val="32"/>
          <w:lang w:eastAsia="zh-Hans"/>
        </w:rPr>
        <w:t>。</w:t>
      </w:r>
    </w:p>
    <w:p w14:paraId="08AD69E3">
      <w:pPr>
        <w:spacing w:line="560" w:lineRule="exact"/>
        <w:ind w:firstLine="632" w:firstLineChars="200"/>
      </w:pPr>
      <w:r>
        <w:rPr>
          <w:rFonts w:hint="eastAsia" w:ascii="Times New Roman"/>
          <w:szCs w:val="32"/>
        </w:rPr>
        <w:t>严重精神障碍患者健康管理率</w:t>
      </w:r>
      <w:r>
        <w:rPr>
          <w:rFonts w:ascii="Times New Roman"/>
          <w:szCs w:val="32"/>
        </w:rPr>
        <w:t>扣</w:t>
      </w:r>
      <w:r>
        <w:rPr>
          <w:rFonts w:hint="eastAsia" w:ascii="Times New Roman"/>
          <w:szCs w:val="32"/>
        </w:rPr>
        <w:t>0.30</w:t>
      </w:r>
      <w:r>
        <w:rPr>
          <w:rFonts w:ascii="Times New Roman"/>
          <w:szCs w:val="32"/>
        </w:rPr>
        <w:t>分，主要扣分原因是</w:t>
      </w:r>
      <w:r>
        <w:rPr>
          <w:rFonts w:hint="eastAsia" w:ascii="Times New Roman"/>
          <w:szCs w:val="32"/>
        </w:rPr>
        <w:t>面访率目标为90%以上，实际只完成88.5%。</w:t>
      </w:r>
    </w:p>
    <w:p w14:paraId="7FC3ED0C">
      <w:pPr>
        <w:pStyle w:val="4"/>
        <w:numPr>
          <w:ilvl w:val="0"/>
          <w:numId w:val="1"/>
        </w:numPr>
        <w:spacing w:line="560" w:lineRule="exact"/>
        <w:ind w:firstLine="633"/>
        <w:rPr>
          <w:rFonts w:ascii="Times New Roman" w:hAnsi="Times New Roman"/>
          <w:kern w:val="2"/>
          <w:sz w:val="32"/>
        </w:rPr>
      </w:pPr>
      <w:r>
        <w:rPr>
          <w:rFonts w:hint="eastAsia" w:ascii="Times New Roman" w:hAnsi="Times New Roman"/>
          <w:kern w:val="2"/>
          <w:sz w:val="32"/>
        </w:rPr>
        <w:t>社会</w:t>
      </w:r>
      <w:r>
        <w:rPr>
          <w:rFonts w:ascii="Times New Roman" w:hAnsi="Times New Roman"/>
          <w:kern w:val="2"/>
          <w:sz w:val="32"/>
        </w:rPr>
        <w:t>效</w:t>
      </w:r>
      <w:r>
        <w:rPr>
          <w:rFonts w:hint="eastAsia" w:ascii="Times New Roman" w:hAnsi="Times New Roman"/>
          <w:kern w:val="2"/>
          <w:sz w:val="32"/>
        </w:rPr>
        <w:t>应。权重6分，</w:t>
      </w:r>
      <w:r>
        <w:rPr>
          <w:rFonts w:ascii="Times New Roman" w:hAnsi="Times New Roman"/>
          <w:kern w:val="2"/>
          <w:sz w:val="32"/>
        </w:rPr>
        <w:t>得分</w:t>
      </w:r>
      <w:r>
        <w:rPr>
          <w:rFonts w:hint="eastAsia" w:ascii="Times New Roman" w:hAnsi="Times New Roman"/>
          <w:kern w:val="2"/>
          <w:sz w:val="32"/>
        </w:rPr>
        <w:t>6</w:t>
      </w:r>
      <w:r>
        <w:rPr>
          <w:rFonts w:ascii="Times New Roman" w:hAnsi="Times New Roman"/>
          <w:kern w:val="2"/>
          <w:sz w:val="32"/>
        </w:rPr>
        <w:t>分，</w:t>
      </w:r>
      <w:r>
        <w:rPr>
          <w:rFonts w:hint="eastAsia" w:ascii="Times New Roman" w:hAnsi="Times New Roman"/>
          <w:kern w:val="2"/>
          <w:sz w:val="32"/>
        </w:rPr>
        <w:t>未扣</w:t>
      </w:r>
      <w:r>
        <w:rPr>
          <w:rFonts w:ascii="Times New Roman" w:hAnsi="Times New Roman"/>
          <w:kern w:val="2"/>
          <w:sz w:val="32"/>
        </w:rPr>
        <w:t>分</w:t>
      </w:r>
    </w:p>
    <w:p w14:paraId="1A69DF6C">
      <w:pPr>
        <w:ind w:firstLine="632" w:firstLineChars="200"/>
      </w:pPr>
      <w:r>
        <w:rPr>
          <w:rFonts w:hint="eastAsia"/>
        </w:rPr>
        <w:t>健康教育与健康促进方面有持续健康教育宣传，普及健康知识，居民健康素养水平从2021年26.28%提高到2022年30.42%。</w:t>
      </w:r>
    </w:p>
    <w:p w14:paraId="6AACE1A9">
      <w:pPr>
        <w:pStyle w:val="4"/>
        <w:numPr>
          <w:ilvl w:val="0"/>
          <w:numId w:val="2"/>
        </w:numPr>
        <w:spacing w:line="560" w:lineRule="exact"/>
        <w:ind w:firstLine="633"/>
        <w:rPr>
          <w:sz w:val="32"/>
        </w:rPr>
      </w:pPr>
      <w:r>
        <w:rPr>
          <w:rFonts w:hint="eastAsia" w:ascii="Times New Roman"/>
          <w:sz w:val="32"/>
        </w:rPr>
        <w:t>可持续发展能力。</w:t>
      </w:r>
      <w:r>
        <w:rPr>
          <w:rFonts w:hint="eastAsia" w:ascii="Times New Roman" w:hAnsi="Times New Roman"/>
          <w:kern w:val="2"/>
          <w:sz w:val="32"/>
        </w:rPr>
        <w:t>权重6分，</w:t>
      </w:r>
      <w:r>
        <w:rPr>
          <w:rFonts w:ascii="Times New Roman" w:hAnsi="Times New Roman"/>
          <w:kern w:val="2"/>
          <w:sz w:val="32"/>
        </w:rPr>
        <w:t>得分</w:t>
      </w:r>
      <w:r>
        <w:rPr>
          <w:rFonts w:hint="eastAsia" w:ascii="Times New Roman" w:hAnsi="Times New Roman"/>
          <w:kern w:val="2"/>
          <w:sz w:val="32"/>
        </w:rPr>
        <w:t>5</w:t>
      </w:r>
      <w:r>
        <w:rPr>
          <w:rFonts w:ascii="Times New Roman" w:hAnsi="Times New Roman"/>
          <w:kern w:val="2"/>
          <w:sz w:val="32"/>
        </w:rPr>
        <w:t>分，</w:t>
      </w:r>
      <w:r>
        <w:rPr>
          <w:rFonts w:hint="eastAsia" w:ascii="Times New Roman" w:hAnsi="Times New Roman"/>
          <w:kern w:val="2"/>
          <w:sz w:val="32"/>
        </w:rPr>
        <w:t>扣1</w:t>
      </w:r>
      <w:r>
        <w:rPr>
          <w:rFonts w:ascii="Times New Roman" w:hAnsi="Times New Roman"/>
          <w:kern w:val="2"/>
          <w:sz w:val="32"/>
        </w:rPr>
        <w:t>分</w:t>
      </w:r>
    </w:p>
    <w:p w14:paraId="055A0FC7">
      <w:pPr>
        <w:ind w:firstLine="632" w:firstLineChars="200"/>
      </w:pPr>
      <w:r>
        <w:rPr>
          <w:rFonts w:hint="eastAsia"/>
          <w:szCs w:val="32"/>
        </w:rPr>
        <w:t>高学历，高层次人才储备率扣1分，主要原因是该部门本年度无高层次人才培养及高学历人才储备。</w:t>
      </w:r>
    </w:p>
    <w:p w14:paraId="6B1BF0AD">
      <w:pPr>
        <w:pStyle w:val="4"/>
        <w:numPr>
          <w:ilvl w:val="0"/>
          <w:numId w:val="2"/>
        </w:numPr>
        <w:spacing w:line="560" w:lineRule="exact"/>
        <w:ind w:firstLine="633"/>
        <w:rPr>
          <w:sz w:val="32"/>
        </w:rPr>
      </w:pPr>
      <w:r>
        <w:rPr>
          <w:rFonts w:hint="eastAsia"/>
          <w:sz w:val="32"/>
        </w:rPr>
        <w:t>满意度。权重4分，得分3.78分，扣0.22分</w:t>
      </w:r>
    </w:p>
    <w:p w14:paraId="29ECFD35">
      <w:pPr>
        <w:ind w:firstLine="630"/>
        <w:rPr>
          <w:rFonts w:ascii="Times New Roman"/>
          <w:szCs w:val="32"/>
        </w:rPr>
      </w:pPr>
      <w:r>
        <w:rPr>
          <w:rFonts w:hint="eastAsia"/>
          <w:szCs w:val="32"/>
        </w:rPr>
        <w:t>受众人员满意度扣0.15分，主要扣分原因是</w:t>
      </w:r>
      <w:r>
        <w:rPr>
          <w:rFonts w:ascii="Times New Roman"/>
          <w:szCs w:val="32"/>
        </w:rPr>
        <w:t>对调查问卷汇总分析，</w:t>
      </w:r>
      <w:r>
        <w:rPr>
          <w:rFonts w:hint="eastAsia"/>
          <w:szCs w:val="32"/>
        </w:rPr>
        <w:t>受众人员</w:t>
      </w:r>
      <w:r>
        <w:rPr>
          <w:rFonts w:hint="eastAsia" w:ascii="Times New Roman"/>
          <w:szCs w:val="32"/>
        </w:rPr>
        <w:t>对卫健局的服务态度及工作效率的满意程度为92.68%。</w:t>
      </w:r>
      <w:bookmarkEnd w:id="1"/>
      <w:bookmarkStart w:id="2" w:name="_Toc40281670"/>
    </w:p>
    <w:p w14:paraId="03BAA483">
      <w:pPr>
        <w:ind w:firstLine="630"/>
      </w:pPr>
      <w:r>
        <w:rPr>
          <w:rFonts w:hint="eastAsia"/>
          <w:szCs w:val="32"/>
        </w:rPr>
        <w:t>其他相关部门满意度扣0.07分，主要扣分原因是</w:t>
      </w:r>
      <w:r>
        <w:rPr>
          <w:rFonts w:ascii="Times New Roman"/>
          <w:szCs w:val="32"/>
        </w:rPr>
        <w:t>对调查问卷汇总分析，</w:t>
      </w:r>
      <w:r>
        <w:rPr>
          <w:rFonts w:hint="eastAsia"/>
          <w:szCs w:val="32"/>
        </w:rPr>
        <w:t>其他相关部门人员</w:t>
      </w:r>
      <w:r>
        <w:rPr>
          <w:rFonts w:hint="eastAsia" w:ascii="Times New Roman"/>
          <w:szCs w:val="32"/>
        </w:rPr>
        <w:t>对卫健局的服务态度及工作效率的满意程度为96.55%。</w:t>
      </w:r>
    </w:p>
    <w:p w14:paraId="2A45E94B">
      <w:pPr>
        <w:pStyle w:val="4"/>
        <w:ind w:firstLine="633"/>
        <w:rPr>
          <w:rFonts w:ascii="Times New Roman" w:eastAsia="楷体"/>
          <w:b w:val="0"/>
          <w:bCs w:val="0"/>
          <w:sz w:val="32"/>
          <w:szCs w:val="36"/>
        </w:rPr>
      </w:pPr>
      <w:r>
        <w:rPr>
          <w:rFonts w:hint="eastAsia" w:ascii="Times New Roman" w:eastAsia="楷体"/>
          <w:sz w:val="32"/>
          <w:szCs w:val="36"/>
        </w:rPr>
        <w:t>（三）主要成效、</w:t>
      </w:r>
      <w:r>
        <w:rPr>
          <w:rFonts w:ascii="Times New Roman" w:eastAsia="楷体"/>
          <w:sz w:val="32"/>
          <w:szCs w:val="36"/>
        </w:rPr>
        <w:t>存在的</w:t>
      </w:r>
      <w:r>
        <w:rPr>
          <w:rFonts w:hint="eastAsia" w:ascii="Times New Roman" w:eastAsia="楷体"/>
          <w:sz w:val="32"/>
          <w:szCs w:val="36"/>
        </w:rPr>
        <w:t>突出</w:t>
      </w:r>
      <w:r>
        <w:rPr>
          <w:rFonts w:ascii="Times New Roman" w:eastAsia="楷体"/>
          <w:sz w:val="32"/>
          <w:szCs w:val="36"/>
        </w:rPr>
        <w:t>问题</w:t>
      </w:r>
      <w:bookmarkEnd w:id="2"/>
      <w:r>
        <w:rPr>
          <w:rFonts w:ascii="Times New Roman" w:eastAsia="楷体"/>
          <w:sz w:val="32"/>
          <w:szCs w:val="36"/>
        </w:rPr>
        <w:t>和原因</w:t>
      </w:r>
    </w:p>
    <w:p w14:paraId="5713A275">
      <w:pPr>
        <w:ind w:firstLine="632" w:firstLineChars="200"/>
        <w:rPr>
          <w:rFonts w:ascii="Times New Roman"/>
          <w:b/>
          <w:bCs/>
          <w:szCs w:val="32"/>
        </w:rPr>
      </w:pPr>
      <w:r>
        <w:rPr>
          <w:rFonts w:ascii="Times New Roman"/>
          <w:b/>
          <w:bCs/>
          <w:szCs w:val="32"/>
        </w:rPr>
        <w:t>1、以前年度结果应用的情况</w:t>
      </w:r>
    </w:p>
    <w:p w14:paraId="274C55E5">
      <w:pPr>
        <w:ind w:firstLine="632" w:firstLineChars="200"/>
        <w:rPr>
          <w:rFonts w:ascii="Times New Roman"/>
          <w:szCs w:val="32"/>
        </w:rPr>
      </w:pPr>
      <w:r>
        <w:rPr>
          <w:rFonts w:hint="eastAsia" w:ascii="Times New Roman"/>
          <w:szCs w:val="32"/>
        </w:rPr>
        <w:t>该部门以前年度未做过整体绩效评价。</w:t>
      </w:r>
    </w:p>
    <w:p w14:paraId="3688018B">
      <w:pPr>
        <w:ind w:firstLine="632" w:firstLineChars="200"/>
        <w:rPr>
          <w:rFonts w:ascii="Times New Roman"/>
          <w:b/>
          <w:bCs/>
          <w:szCs w:val="32"/>
        </w:rPr>
      </w:pPr>
      <w:r>
        <w:rPr>
          <w:rFonts w:ascii="Times New Roman"/>
          <w:b/>
          <w:bCs/>
          <w:szCs w:val="32"/>
        </w:rPr>
        <w:t>2、本年度</w:t>
      </w:r>
      <w:r>
        <w:rPr>
          <w:rFonts w:hint="eastAsia" w:ascii="Times New Roman"/>
          <w:b/>
          <w:bCs/>
          <w:szCs w:val="32"/>
        </w:rPr>
        <w:t>本部门主要成效、</w:t>
      </w:r>
      <w:r>
        <w:rPr>
          <w:rFonts w:ascii="Times New Roman"/>
          <w:b/>
          <w:bCs/>
          <w:szCs w:val="32"/>
        </w:rPr>
        <w:t>绩效存在的问题和原因</w:t>
      </w:r>
    </w:p>
    <w:p w14:paraId="1AAFF2B0">
      <w:pPr>
        <w:spacing w:line="560" w:lineRule="exact"/>
        <w:ind w:firstLine="632" w:firstLineChars="200"/>
        <w:rPr>
          <w:rFonts w:ascii="Times New Roman"/>
          <w:szCs w:val="32"/>
        </w:rPr>
      </w:pPr>
      <w:r>
        <w:rPr>
          <w:rFonts w:ascii="Times New Roman"/>
          <w:szCs w:val="32"/>
        </w:rPr>
        <w:t>（1）</w:t>
      </w:r>
      <w:r>
        <w:rPr>
          <w:rFonts w:hint="eastAsia" w:ascii="Times New Roman"/>
          <w:szCs w:val="32"/>
        </w:rPr>
        <w:t>预算调整过多</w:t>
      </w:r>
    </w:p>
    <w:p w14:paraId="6AFDFE76">
      <w:pPr>
        <w:spacing w:line="560" w:lineRule="exact"/>
        <w:ind w:firstLine="632" w:firstLineChars="200"/>
        <w:rPr>
          <w:bCs/>
        </w:rPr>
      </w:pPr>
      <w:r>
        <w:rPr>
          <w:rFonts w:hint="eastAsia"/>
          <w:bCs/>
        </w:rPr>
        <w:t>本年部门总体预算调整率246.47%，其中基本支出调整率17.13%，主要原因为当年在编人员变动，引起相应的支出变动；项目支出调整率308.63%，主要原因为预决算口径不一致（预算只含本级资金，决算包含上级资金）。</w:t>
      </w:r>
    </w:p>
    <w:p w14:paraId="2D17DB5F">
      <w:pPr>
        <w:numPr>
          <w:ilvl w:val="0"/>
          <w:numId w:val="3"/>
        </w:numPr>
        <w:spacing w:line="560" w:lineRule="exact"/>
        <w:ind w:firstLine="632" w:firstLineChars="200"/>
        <w:rPr>
          <w:rFonts w:ascii="Times New Roman"/>
          <w:szCs w:val="32"/>
        </w:rPr>
      </w:pPr>
      <w:r>
        <w:rPr>
          <w:rFonts w:hint="eastAsia" w:ascii="Times New Roman"/>
          <w:szCs w:val="32"/>
        </w:rPr>
        <w:t>绩效目标完成方面还需提高</w:t>
      </w:r>
    </w:p>
    <w:p w14:paraId="07479193">
      <w:pPr>
        <w:spacing w:line="560" w:lineRule="exact"/>
        <w:ind w:firstLine="632" w:firstLineChars="200"/>
        <w:rPr>
          <w:rFonts w:ascii="Times New Roman"/>
          <w:szCs w:val="32"/>
          <w:highlight w:val="yellow"/>
        </w:rPr>
      </w:pPr>
      <w:r>
        <w:rPr>
          <w:rFonts w:hint="eastAsia" w:ascii="Times New Roman"/>
          <w:szCs w:val="32"/>
        </w:rPr>
        <w:t>在履职效能指标中，数量方面，“0－6岁儿童眼保健和视力检查覆盖率”、“高血压患者管理人数”、“宫颈癌筛查人数”未完成目标；质量方面，“严重精神障碍患者健康管理率”未完成目标</w:t>
      </w:r>
      <w:r>
        <w:rPr>
          <w:rFonts w:ascii="Times New Roman"/>
          <w:szCs w:val="32"/>
        </w:rPr>
        <w:t>。</w:t>
      </w:r>
    </w:p>
    <w:p w14:paraId="5FA86182">
      <w:pPr>
        <w:pStyle w:val="4"/>
        <w:spacing w:line="560" w:lineRule="exact"/>
        <w:ind w:firstLine="633"/>
        <w:rPr>
          <w:rFonts w:ascii="Times New Roman" w:hAnsi="Times New Roman" w:eastAsia="楷体"/>
          <w:sz w:val="32"/>
        </w:rPr>
      </w:pPr>
      <w:bookmarkStart w:id="3" w:name="_Toc40281671"/>
      <w:r>
        <w:rPr>
          <w:rFonts w:ascii="Times New Roman" w:hAnsi="Times New Roman" w:eastAsia="楷体"/>
          <w:sz w:val="32"/>
        </w:rPr>
        <w:t>（四）下一步拟</w:t>
      </w:r>
      <w:bookmarkEnd w:id="3"/>
      <w:r>
        <w:rPr>
          <w:rFonts w:ascii="Times New Roman" w:hAnsi="Times New Roman" w:eastAsia="楷体"/>
          <w:sz w:val="32"/>
        </w:rPr>
        <w:t>改进措施</w:t>
      </w:r>
    </w:p>
    <w:p w14:paraId="59B19F67">
      <w:pPr>
        <w:spacing w:line="560" w:lineRule="exact"/>
        <w:ind w:firstLine="632" w:firstLineChars="200"/>
        <w:rPr>
          <w:rFonts w:ascii="Times New Roman"/>
          <w:b/>
          <w:bCs/>
          <w:szCs w:val="32"/>
        </w:rPr>
      </w:pPr>
      <w:r>
        <w:rPr>
          <w:rFonts w:ascii="Times New Roman"/>
        </w:rPr>
        <w:t>1、</w:t>
      </w:r>
      <w:r>
        <w:rPr>
          <w:rFonts w:hint="eastAsia" w:ascii="Times New Roman"/>
          <w:b/>
          <w:bCs/>
          <w:szCs w:val="32"/>
        </w:rPr>
        <w:t>拟与预算安排相结合情况</w:t>
      </w:r>
    </w:p>
    <w:p w14:paraId="0E3D10D5">
      <w:pPr>
        <w:spacing w:line="560" w:lineRule="exact"/>
        <w:ind w:firstLine="632" w:firstLineChars="200"/>
        <w:rPr>
          <w:rFonts w:ascii="Times New Roman"/>
          <w:szCs w:val="32"/>
        </w:rPr>
      </w:pPr>
      <w:r>
        <w:rPr>
          <w:rFonts w:hint="eastAsia" w:ascii="Times New Roman"/>
          <w:szCs w:val="32"/>
        </w:rPr>
        <w:t>建议完善预决算管理，统一口径、降低预算调整率</w:t>
      </w:r>
      <w:r>
        <w:rPr>
          <w:rFonts w:ascii="Times New Roman"/>
          <w:szCs w:val="32"/>
        </w:rPr>
        <w:t>。</w:t>
      </w:r>
    </w:p>
    <w:p w14:paraId="57BB69C2">
      <w:pPr>
        <w:pStyle w:val="4"/>
        <w:spacing w:line="560" w:lineRule="exact"/>
        <w:ind w:firstLine="640" w:firstLineChars="232"/>
        <w:rPr>
          <w:rFonts w:ascii="Times New Roman" w:hAnsi="Times New Roman"/>
          <w:sz w:val="32"/>
        </w:rPr>
      </w:pPr>
      <w:r>
        <w:rPr>
          <w:rFonts w:ascii="Times New Roman"/>
        </w:rPr>
        <w:t>2、</w:t>
      </w:r>
      <w:r>
        <w:rPr>
          <w:rFonts w:hint="eastAsia" w:ascii="Times New Roman" w:hAnsi="Times New Roman"/>
          <w:sz w:val="32"/>
        </w:rPr>
        <w:t>合理设定绩效目标</w:t>
      </w:r>
    </w:p>
    <w:p w14:paraId="4BD52206">
      <w:pPr>
        <w:spacing w:line="560" w:lineRule="exact"/>
        <w:ind w:firstLine="632" w:firstLineChars="200"/>
        <w:rPr>
          <w:rFonts w:ascii="Times New Roman"/>
          <w:szCs w:val="32"/>
        </w:rPr>
      </w:pPr>
      <w:r>
        <w:rPr>
          <w:rFonts w:ascii="Times New Roman"/>
          <w:szCs w:val="32"/>
        </w:rPr>
        <w:t>建议</w:t>
      </w:r>
      <w:r>
        <w:rPr>
          <w:rFonts w:hint="eastAsia" w:ascii="Times New Roman"/>
          <w:szCs w:val="32"/>
        </w:rPr>
        <w:t>加强对绩效目标实施及管理力度，确保完成既定目标</w:t>
      </w:r>
      <w:r>
        <w:rPr>
          <w:rFonts w:ascii="Times New Roman"/>
          <w:szCs w:val="32"/>
        </w:rPr>
        <w:t>。</w:t>
      </w:r>
    </w:p>
    <w:p w14:paraId="4A872542">
      <w:pPr>
        <w:pStyle w:val="3"/>
        <w:topLinePunct/>
        <w:spacing w:line="560" w:lineRule="exact"/>
        <w:ind w:firstLine="630"/>
        <w:rPr>
          <w:rFonts w:ascii="Times New Roman" w:hAnsi="Times New Roman"/>
          <w:b w:val="0"/>
          <w:sz w:val="32"/>
        </w:rPr>
      </w:pPr>
      <w:bookmarkStart w:id="4" w:name="_Toc40281672"/>
      <w:r>
        <w:rPr>
          <w:rFonts w:ascii="Times New Roman" w:hAnsi="Times New Roman"/>
          <w:b w:val="0"/>
          <w:sz w:val="32"/>
        </w:rPr>
        <w:t>二、佐证</w:t>
      </w:r>
      <w:r>
        <w:rPr>
          <w:rFonts w:hint="eastAsia" w:ascii="Times New Roman" w:hAnsi="Times New Roman"/>
          <w:b w:val="0"/>
          <w:sz w:val="32"/>
        </w:rPr>
        <w:t>材料</w:t>
      </w:r>
      <w:bookmarkEnd w:id="4"/>
      <w:bookmarkStart w:id="5" w:name="_Toc40281673"/>
    </w:p>
    <w:bookmarkEnd w:id="5"/>
    <w:p w14:paraId="3DAD3017">
      <w:pPr>
        <w:pStyle w:val="4"/>
        <w:spacing w:line="560" w:lineRule="exact"/>
        <w:ind w:firstLine="633"/>
        <w:rPr>
          <w:rFonts w:ascii="Times New Roman" w:hAnsi="Times New Roman" w:eastAsia="楷体"/>
          <w:sz w:val="32"/>
          <w:szCs w:val="36"/>
        </w:rPr>
      </w:pPr>
      <w:r>
        <w:rPr>
          <w:rFonts w:ascii="Times New Roman" w:hAnsi="Times New Roman" w:eastAsia="楷体"/>
          <w:sz w:val="32"/>
          <w:szCs w:val="36"/>
        </w:rPr>
        <w:t>（一）基本情况</w:t>
      </w:r>
    </w:p>
    <w:p w14:paraId="381AB766">
      <w:pPr>
        <w:spacing w:line="560" w:lineRule="exact"/>
        <w:ind w:firstLine="632" w:firstLineChars="200"/>
        <w:rPr>
          <w:rFonts w:ascii="Times New Roman"/>
          <w:b/>
          <w:bCs/>
          <w:szCs w:val="32"/>
        </w:rPr>
      </w:pPr>
      <w:r>
        <w:rPr>
          <w:rFonts w:ascii="Times New Roman"/>
          <w:b/>
          <w:bCs/>
          <w:szCs w:val="32"/>
        </w:rPr>
        <w:t>1、</w:t>
      </w:r>
      <w:r>
        <w:rPr>
          <w:rFonts w:hint="eastAsia" w:ascii="Times New Roman"/>
          <w:b/>
          <w:bCs/>
          <w:szCs w:val="32"/>
        </w:rPr>
        <w:t>部门支出情况</w:t>
      </w:r>
    </w:p>
    <w:p w14:paraId="73FAA41C">
      <w:pPr>
        <w:spacing w:line="560" w:lineRule="exact"/>
        <w:ind w:firstLine="632" w:firstLineChars="200"/>
        <w:rPr>
          <w:rFonts w:ascii="Times New Roman"/>
          <w:szCs w:val="32"/>
        </w:rPr>
      </w:pPr>
      <w:r>
        <w:rPr>
          <w:rFonts w:hint="eastAsia" w:ascii="Times New Roman"/>
          <w:szCs w:val="32"/>
        </w:rPr>
        <w:t>2022年部门预算总支出2633.41万元，详细如下：</w:t>
      </w:r>
    </w:p>
    <w:p w14:paraId="7176C120">
      <w:pPr>
        <w:spacing w:line="560" w:lineRule="exact"/>
        <w:ind w:firstLine="632" w:firstLineChars="200"/>
        <w:rPr>
          <w:rFonts w:ascii="Times New Roman"/>
          <w:szCs w:val="32"/>
        </w:rPr>
      </w:pPr>
      <w:r>
        <w:rPr>
          <w:rFonts w:hint="eastAsia" w:ascii="Times New Roman"/>
          <w:szCs w:val="32"/>
        </w:rPr>
        <w:t>基本支出189.82万元，其中人员经费176.09万元、公用经费13.74万元。</w:t>
      </w:r>
    </w:p>
    <w:p w14:paraId="73DBEBAC">
      <w:pPr>
        <w:spacing w:line="560" w:lineRule="exact"/>
        <w:ind w:firstLine="632" w:firstLineChars="200"/>
        <w:rPr>
          <w:rFonts w:ascii="Times New Roman"/>
          <w:szCs w:val="32"/>
        </w:rPr>
      </w:pPr>
      <w:r>
        <w:rPr>
          <w:rFonts w:hint="eastAsia" w:ascii="Times New Roman"/>
          <w:szCs w:val="32"/>
        </w:rPr>
        <w:t>项目支出2443.59万元，其中社会保障和就业支出3.38万元、卫生健康支出2440.21万元（包含卫生健康管理事务722.21万元、基层医疗卫生机构3万元、公共卫生1059.83万元、计划生育事务616.97万元、行政事业单位医疗37.48万元、老龄卫生健康事务0.71万元）。</w:t>
      </w:r>
    </w:p>
    <w:p w14:paraId="56ED19D9">
      <w:pPr>
        <w:spacing w:line="560" w:lineRule="exact"/>
        <w:ind w:firstLine="632" w:firstLineChars="200"/>
        <w:rPr>
          <w:rFonts w:ascii="Times New Roman"/>
          <w:b/>
          <w:bCs/>
          <w:szCs w:val="32"/>
        </w:rPr>
      </w:pPr>
      <w:r>
        <w:rPr>
          <w:rFonts w:hint="eastAsia" w:ascii="Times New Roman"/>
          <w:b/>
          <w:bCs/>
          <w:szCs w:val="32"/>
        </w:rPr>
        <w:t>2、部门重点工作</w:t>
      </w:r>
    </w:p>
    <w:p w14:paraId="6105771E">
      <w:pPr>
        <w:spacing w:line="560" w:lineRule="exact"/>
        <w:ind w:firstLine="632" w:firstLineChars="200"/>
        <w:rPr>
          <w:rFonts w:ascii="Times New Roman"/>
          <w:szCs w:val="32"/>
        </w:rPr>
      </w:pPr>
      <w:r>
        <w:rPr>
          <w:rFonts w:hint="eastAsia" w:ascii="Times New Roman"/>
          <w:szCs w:val="32"/>
        </w:rPr>
        <w:t>按照中共西塞山区委办公室、区政府办公室关于印发《西塞山区卫生健康局职能配置、内设机构和人员编制规定》的通知（西办文</w:t>
      </w:r>
      <w:r>
        <w:rPr>
          <w:rFonts w:ascii="Times New Roman"/>
          <w:szCs w:val="32"/>
        </w:rPr>
        <w:t>〔</w:t>
      </w:r>
      <w:r>
        <w:rPr>
          <w:rFonts w:hint="eastAsia" w:ascii="Times New Roman"/>
          <w:szCs w:val="32"/>
        </w:rPr>
        <w:t>2019</w:t>
      </w:r>
      <w:r>
        <w:rPr>
          <w:rFonts w:ascii="Times New Roman"/>
          <w:szCs w:val="32"/>
        </w:rPr>
        <w:t>〕</w:t>
      </w:r>
      <w:r>
        <w:rPr>
          <w:rFonts w:hint="eastAsia" w:ascii="Times New Roman"/>
          <w:szCs w:val="32"/>
        </w:rPr>
        <w:t>33号）规定，区卫健局主要职责是：</w:t>
      </w:r>
    </w:p>
    <w:p w14:paraId="29B79935">
      <w:pPr>
        <w:numPr>
          <w:ilvl w:val="0"/>
          <w:numId w:val="4"/>
        </w:numPr>
        <w:spacing w:line="560" w:lineRule="exact"/>
        <w:ind w:firstLine="641" w:firstLineChars="203"/>
        <w:rPr>
          <w:rFonts w:ascii="Times New Roman"/>
          <w:szCs w:val="32"/>
        </w:rPr>
      </w:pPr>
      <w:r>
        <w:rPr>
          <w:rFonts w:hint="eastAsia" w:ascii="Times New Roman"/>
          <w:szCs w:val="32"/>
        </w:rPr>
        <w:t>贯彻落实国家、省、市关于卫生健康工作的方针政策和法律法规。负责起草、中医药事业发展的地方规范性文件。协调推进健康西塞山建设。负责协调推进全区医药卫生体制改革和医疗保障，统筹规划全区卫生健康服务资源配置，指导区域卫生健康规划的编制和实施。</w:t>
      </w:r>
    </w:p>
    <w:p w14:paraId="037D61E5">
      <w:pPr>
        <w:numPr>
          <w:ilvl w:val="0"/>
          <w:numId w:val="4"/>
        </w:numPr>
        <w:spacing w:line="560" w:lineRule="exact"/>
        <w:ind w:firstLine="641" w:firstLineChars="203"/>
        <w:rPr>
          <w:rFonts w:ascii="Times New Roman"/>
          <w:szCs w:val="32"/>
        </w:rPr>
      </w:pPr>
      <w:r>
        <w:rPr>
          <w:rFonts w:hint="eastAsia" w:ascii="Times New Roman"/>
          <w:szCs w:val="32"/>
        </w:rPr>
        <w:t>负责制定全区疾病预防控制规划、免疫规划、严重危害人民健康的公共卫生问题的干预措施并组织落实，根据国家检疫传染病和监测传染病目录，制定全区卫生应急和紧急医学救援预案、突发公共卫生事件监测和风险评估计划，组织和指导全区突发公共卫生事件预防控制和各类突发公共事件的医疗卫生救援。</w:t>
      </w:r>
    </w:p>
    <w:p w14:paraId="7C214749">
      <w:pPr>
        <w:numPr>
          <w:ilvl w:val="0"/>
          <w:numId w:val="4"/>
        </w:numPr>
        <w:spacing w:line="560" w:lineRule="exact"/>
        <w:ind w:firstLine="641" w:firstLineChars="203"/>
        <w:rPr>
          <w:rFonts w:ascii="Times New Roman"/>
          <w:szCs w:val="32"/>
        </w:rPr>
      </w:pPr>
      <w:r>
        <w:rPr>
          <w:rFonts w:hint="eastAsia" w:ascii="Times New Roman"/>
          <w:szCs w:val="32"/>
        </w:rPr>
        <w:t>负责职责范围内的职业卫生、放射卫生、环境卫生、学校卫生、公共场所卫生、饮用水卫生管理规范、标准和政策措施，协助开展相关监测、调查、评估和监督，协助做好传染病防治监督。</w:t>
      </w:r>
    </w:p>
    <w:p w14:paraId="23B8A518">
      <w:pPr>
        <w:numPr>
          <w:ilvl w:val="0"/>
          <w:numId w:val="4"/>
        </w:numPr>
        <w:spacing w:line="560" w:lineRule="exact"/>
        <w:ind w:firstLine="641" w:firstLineChars="203"/>
        <w:rPr>
          <w:rFonts w:ascii="Times New Roman"/>
          <w:szCs w:val="32"/>
        </w:rPr>
      </w:pPr>
      <w:r>
        <w:rPr>
          <w:rFonts w:hint="eastAsia" w:ascii="Times New Roman"/>
          <w:szCs w:val="32"/>
        </w:rPr>
        <w:t>负责组织拟订并实施基层医疗卫生、妇幼健康服务体系和全科医生队伍建设。推进卫生健康科技创新发展。</w:t>
      </w:r>
    </w:p>
    <w:p w14:paraId="7DA26102">
      <w:pPr>
        <w:numPr>
          <w:ilvl w:val="0"/>
          <w:numId w:val="4"/>
        </w:numPr>
        <w:spacing w:line="560" w:lineRule="exact"/>
        <w:ind w:firstLine="641" w:firstLineChars="203"/>
        <w:rPr>
          <w:rFonts w:ascii="Times New Roman"/>
          <w:szCs w:val="32"/>
        </w:rPr>
      </w:pPr>
      <w:r>
        <w:rPr>
          <w:rFonts w:hint="eastAsia" w:ascii="Times New Roman"/>
          <w:szCs w:val="32"/>
        </w:rPr>
        <w:t>负责监督实施全区医疗机构和医疗服务全行业规范管理，组织开展红十字会和无偿献血工作。贯彻执行国家卫生专业技术人员准入及资格标准、卫生专业技术人员职业规则和服务规范，建立医疗服务评价和监督管理体系。负责卫生院、社区卫生服务中心、门诊部、诊所、卫生所、医务室等基层医疗机构执业许可的审批工作。</w:t>
      </w:r>
    </w:p>
    <w:p w14:paraId="59707B04">
      <w:pPr>
        <w:numPr>
          <w:ilvl w:val="0"/>
          <w:numId w:val="4"/>
        </w:numPr>
        <w:spacing w:line="560" w:lineRule="exact"/>
        <w:ind w:firstLine="641" w:firstLineChars="203"/>
        <w:rPr>
          <w:rFonts w:ascii="Times New Roman"/>
          <w:szCs w:val="32"/>
        </w:rPr>
      </w:pPr>
      <w:r>
        <w:rPr>
          <w:rFonts w:hint="eastAsia" w:ascii="Times New Roman"/>
          <w:szCs w:val="32"/>
        </w:rPr>
        <w:t>深化医药卫生体制改革，建立绩效考核和评价运行机制，建设和谐医患关系。组织深化公办医疗机构综合改革，推进管办分离，健全现代社区卫生服务中心、卫生院管理制度，制定并组织实施推动卫生健康公共服务提供主体多元化、提供方式多样化的政策措施。做好离休老干部的公费医疗工作。</w:t>
      </w:r>
    </w:p>
    <w:p w14:paraId="4B2C3ADE">
      <w:pPr>
        <w:numPr>
          <w:ilvl w:val="0"/>
          <w:numId w:val="4"/>
        </w:numPr>
        <w:spacing w:line="560" w:lineRule="exact"/>
        <w:ind w:firstLine="641" w:firstLineChars="203"/>
        <w:rPr>
          <w:rFonts w:ascii="Times New Roman"/>
          <w:szCs w:val="32"/>
        </w:rPr>
      </w:pPr>
      <w:r>
        <w:rPr>
          <w:rFonts w:hint="eastAsia" w:ascii="Times New Roman"/>
          <w:szCs w:val="32"/>
        </w:rPr>
        <w:t>贯彻落实国家药物政策和国家基本药物制度，开展药品使用监测、临床综合评价和短缺药品预警，执行国家药典和国家基本药物目录、湖北省药品增补目录。贯彻落实上级基本药物的采购、配送、使用的政策措施。</w:t>
      </w:r>
    </w:p>
    <w:p w14:paraId="7ADB3E7F">
      <w:pPr>
        <w:numPr>
          <w:ilvl w:val="0"/>
          <w:numId w:val="4"/>
        </w:numPr>
        <w:spacing w:line="560" w:lineRule="exact"/>
        <w:ind w:firstLine="641" w:firstLineChars="203"/>
        <w:rPr>
          <w:rFonts w:ascii="Times New Roman"/>
          <w:szCs w:val="32"/>
        </w:rPr>
      </w:pPr>
      <w:r>
        <w:rPr>
          <w:rFonts w:hint="eastAsia" w:ascii="Times New Roman"/>
          <w:szCs w:val="32"/>
        </w:rPr>
        <w:t>组织拟订并协调落实应对人口老龄化政策措施，负责推进全区老年健康服务体系建设和医养结合工作。</w:t>
      </w:r>
    </w:p>
    <w:p w14:paraId="47F984E6">
      <w:pPr>
        <w:pStyle w:val="10"/>
        <w:numPr>
          <w:ilvl w:val="0"/>
          <w:numId w:val="4"/>
        </w:numPr>
        <w:ind w:firstLine="641" w:firstLineChars="203"/>
        <w:rPr>
          <w:rFonts w:ascii="Times New Roman"/>
          <w:b w:val="0"/>
          <w:bCs/>
          <w:szCs w:val="32"/>
        </w:rPr>
      </w:pPr>
      <w:r>
        <w:rPr>
          <w:rFonts w:hint="eastAsia" w:ascii="Times New Roman"/>
          <w:b w:val="0"/>
          <w:bCs/>
          <w:szCs w:val="32"/>
        </w:rPr>
        <w:t>负责计划生育管理和服务工作，开展人口监测预警，研究提出人口与家庭发展相关政策建议，完善计划生育政策。</w:t>
      </w:r>
    </w:p>
    <w:p w14:paraId="4A6C41A6">
      <w:pPr>
        <w:numPr>
          <w:ilvl w:val="0"/>
          <w:numId w:val="4"/>
        </w:numPr>
        <w:ind w:firstLine="641" w:firstLineChars="203"/>
        <w:rPr>
          <w:bCs/>
        </w:rPr>
      </w:pPr>
      <w:r>
        <w:rPr>
          <w:rFonts w:hint="eastAsia"/>
          <w:bCs/>
        </w:rPr>
        <w:t>组织实施市级以上卫生健康委员会关于医疗机构、医疗服务行业管理政策措施，加强行风建设，建立医疗服务评价和监督管理体系。会同有关部门贯彻执行国家卫生健康专业技术人员资格标准。组织实施医疗服务规范、标准和卫生健康专业技术人员执业规则、服务规范。</w:t>
      </w:r>
    </w:p>
    <w:p w14:paraId="361F4BD5">
      <w:pPr>
        <w:pStyle w:val="10"/>
        <w:numPr>
          <w:ilvl w:val="0"/>
          <w:numId w:val="4"/>
        </w:numPr>
        <w:ind w:firstLine="641" w:firstLineChars="203"/>
        <w:rPr>
          <w:b w:val="0"/>
          <w:bCs/>
        </w:rPr>
      </w:pPr>
      <w:r>
        <w:rPr>
          <w:rFonts w:hint="eastAsia"/>
          <w:b w:val="0"/>
          <w:bCs/>
        </w:rPr>
        <w:t>制定并组织实施全区中医药中长期发展规划，促进全区中医药事业发展，推动全区中医药标准化和现代化。组织开展全区中医药人才培养、师承教育工作，推广中医药科技发展成果和适宜技术，传承和发展中医药文化。组织开展中药资源普查。加强中医药行业监管。</w:t>
      </w:r>
    </w:p>
    <w:p w14:paraId="69ACEBA4">
      <w:pPr>
        <w:numPr>
          <w:ilvl w:val="0"/>
          <w:numId w:val="4"/>
        </w:numPr>
        <w:ind w:firstLine="641" w:firstLineChars="203"/>
      </w:pPr>
      <w:r>
        <w:rPr>
          <w:rFonts w:hint="eastAsia"/>
        </w:rPr>
        <w:t>负责拟定全区开展爱国卫生运动工作目标，并组织实施。组织全区爱国卫生活动，开展创建卫生模范单位、卫生先进单位等爱国卫生创建活动。组织开展健康教育，普及卫生知识，增强群众卫生防病意识。组织开展除“四害”工作等专项爱卫活动。</w:t>
      </w:r>
    </w:p>
    <w:p w14:paraId="29D8D470">
      <w:pPr>
        <w:pStyle w:val="10"/>
        <w:numPr>
          <w:ilvl w:val="0"/>
          <w:numId w:val="4"/>
        </w:numPr>
        <w:ind w:firstLine="641" w:firstLineChars="203"/>
        <w:rPr>
          <w:b w:val="0"/>
          <w:bCs/>
        </w:rPr>
      </w:pPr>
      <w:r>
        <w:rPr>
          <w:rFonts w:hint="eastAsia"/>
          <w:b w:val="0"/>
          <w:bCs/>
        </w:rPr>
        <w:t>承担区深化医药卫生体制改革工作领导小组、区血吸虫病防治工作领导小组、区老龄工作委员会、区爱国卫生运动委员会、红十字会、计划生育协会的日常工作。</w:t>
      </w:r>
    </w:p>
    <w:p w14:paraId="7E5A88B4">
      <w:pPr>
        <w:numPr>
          <w:ilvl w:val="0"/>
          <w:numId w:val="4"/>
        </w:numPr>
        <w:ind w:firstLine="641" w:firstLineChars="203"/>
      </w:pPr>
      <w:r>
        <w:rPr>
          <w:rFonts w:hint="eastAsia"/>
        </w:rPr>
        <w:t>完成上级交办的其他任务。</w:t>
      </w:r>
    </w:p>
    <w:p w14:paraId="723B4E2F">
      <w:pPr>
        <w:spacing w:line="560" w:lineRule="exact"/>
        <w:ind w:firstLine="620" w:firstLineChars="200"/>
        <w:rPr>
          <w:rFonts w:hAnsi="仿宋_GB2312" w:cs="仿宋_GB2312"/>
          <w:b/>
          <w:bCs/>
          <w:spacing w:val="-3"/>
          <w:szCs w:val="32"/>
        </w:rPr>
      </w:pPr>
      <w:r>
        <w:rPr>
          <w:rFonts w:hint="eastAsia" w:hAnsi="仿宋_GB2312" w:cs="仿宋_GB2312"/>
          <w:b/>
          <w:bCs/>
          <w:spacing w:val="-3"/>
          <w:szCs w:val="32"/>
        </w:rPr>
        <w:t>3、</w:t>
      </w:r>
      <w:r>
        <w:rPr>
          <w:rFonts w:hint="eastAsia" w:ascii="Times New Roman"/>
          <w:b/>
          <w:bCs/>
          <w:szCs w:val="32"/>
        </w:rPr>
        <w:t>年度部门整体绩效目标</w:t>
      </w:r>
    </w:p>
    <w:p w14:paraId="68335762">
      <w:pPr>
        <w:numPr>
          <w:ilvl w:val="0"/>
          <w:numId w:val="5"/>
        </w:numPr>
        <w:tabs>
          <w:tab w:val="left" w:pos="0"/>
        </w:tabs>
        <w:spacing w:line="560" w:lineRule="exact"/>
        <w:ind w:firstLine="641" w:firstLineChars="203"/>
        <w:rPr>
          <w:rFonts w:ascii="Times New Roman"/>
          <w:szCs w:val="32"/>
        </w:rPr>
      </w:pPr>
      <w:r>
        <w:rPr>
          <w:rFonts w:ascii="Times New Roman"/>
          <w:szCs w:val="32"/>
        </w:rPr>
        <w:t>根据</w:t>
      </w:r>
      <w:r>
        <w:rPr>
          <w:rFonts w:hint="eastAsia" w:hAnsi="仿宋_GB2312" w:cs="仿宋_GB2312"/>
          <w:szCs w:val="32"/>
        </w:rPr>
        <w:t>《湖北省计划生育实施条例》</w:t>
      </w:r>
      <w:r>
        <w:rPr>
          <w:rFonts w:hint="eastAsia" w:ascii="Times New Roman"/>
          <w:szCs w:val="32"/>
        </w:rPr>
        <w:t>第三十三条，</w:t>
      </w:r>
      <w:r>
        <w:rPr>
          <w:rFonts w:hint="eastAsia" w:hAnsi="仿宋_GB2312" w:cs="仿宋_GB2312"/>
          <w:spacing w:val="-3"/>
          <w:szCs w:val="32"/>
        </w:rPr>
        <w:t>在国家提倡一对夫妻生育一个子女期间，夫妻自愿终身只生育一个子女的，发给《独生子女父母光荣证》，从领证之月起至独生子女满14周岁止，每月发给不低于10元或者一次性发给不低于1500元的独生子女保健费。</w:t>
      </w:r>
    </w:p>
    <w:p w14:paraId="14AC439D">
      <w:pPr>
        <w:numPr>
          <w:ilvl w:val="0"/>
          <w:numId w:val="5"/>
        </w:numPr>
        <w:tabs>
          <w:tab w:val="left" w:pos="0"/>
        </w:tabs>
        <w:spacing w:line="560" w:lineRule="exact"/>
        <w:ind w:firstLine="641" w:firstLineChars="203"/>
        <w:rPr>
          <w:rFonts w:ascii="Times New Roman"/>
          <w:szCs w:val="32"/>
        </w:rPr>
      </w:pPr>
      <w:r>
        <w:rPr>
          <w:rFonts w:hint="eastAsia" w:ascii="Times New Roman"/>
          <w:szCs w:val="32"/>
        </w:rPr>
        <w:t>根据湖北省卫生和计划生育委员会</w:t>
      </w:r>
      <w:r>
        <w:rPr>
          <w:rFonts w:ascii="Times New Roman"/>
          <w:szCs w:val="32"/>
        </w:rPr>
        <w:t>《关于</w:t>
      </w:r>
      <w:r>
        <w:rPr>
          <w:rFonts w:hint="eastAsia" w:ascii="Times New Roman"/>
          <w:szCs w:val="32"/>
        </w:rPr>
        <w:t>落实独生子女死亡的计划生育特殊家庭一次性抚慰金政策</w:t>
      </w:r>
      <w:r>
        <w:rPr>
          <w:rFonts w:ascii="Times New Roman"/>
          <w:szCs w:val="32"/>
        </w:rPr>
        <w:t>的通知》（</w:t>
      </w:r>
      <w:r>
        <w:rPr>
          <w:rFonts w:hint="eastAsia" w:ascii="Times New Roman"/>
          <w:szCs w:val="32"/>
        </w:rPr>
        <w:t>鄂卫生计生通</w:t>
      </w:r>
      <w:r>
        <w:rPr>
          <w:rFonts w:ascii="Times New Roman"/>
          <w:szCs w:val="32"/>
        </w:rPr>
        <w:t>〔20</w:t>
      </w:r>
      <w:r>
        <w:rPr>
          <w:rFonts w:hint="eastAsia" w:ascii="Times New Roman"/>
          <w:szCs w:val="32"/>
        </w:rPr>
        <w:t>16</w:t>
      </w:r>
      <w:r>
        <w:rPr>
          <w:rFonts w:ascii="Times New Roman"/>
          <w:szCs w:val="32"/>
        </w:rPr>
        <w:t>〕</w:t>
      </w:r>
      <w:r>
        <w:rPr>
          <w:rFonts w:hint="eastAsia" w:ascii="Times New Roman"/>
          <w:szCs w:val="32"/>
        </w:rPr>
        <w:t>3</w:t>
      </w:r>
      <w:r>
        <w:rPr>
          <w:rFonts w:ascii="Times New Roman"/>
          <w:szCs w:val="32"/>
        </w:rPr>
        <w:t>号）</w:t>
      </w:r>
      <w:r>
        <w:rPr>
          <w:rFonts w:hint="eastAsia" w:ascii="Times New Roman"/>
          <w:szCs w:val="32"/>
        </w:rPr>
        <w:t>，对独生子女死亡、且符合国家计划生育特别扶助条件、夫妻一方或双方户籍在我省行政区域内的家庭，每户发放10000元一次性抚慰金；或对双方分别发放一次性抚慰金5000元。</w:t>
      </w:r>
    </w:p>
    <w:p w14:paraId="2FAA9EED">
      <w:pPr>
        <w:numPr>
          <w:ilvl w:val="0"/>
          <w:numId w:val="5"/>
        </w:numPr>
        <w:tabs>
          <w:tab w:val="left" w:pos="0"/>
        </w:tabs>
        <w:spacing w:line="560" w:lineRule="exact"/>
        <w:ind w:firstLine="641" w:firstLineChars="203"/>
        <w:rPr>
          <w:rFonts w:ascii="Times New Roman"/>
          <w:szCs w:val="32"/>
        </w:rPr>
      </w:pPr>
      <w:r>
        <w:rPr>
          <w:rFonts w:hint="eastAsia" w:ascii="Times New Roman"/>
          <w:szCs w:val="32"/>
        </w:rPr>
        <w:t>根据西塞山区卫生健康局、西塞山</w:t>
      </w:r>
      <w:r>
        <w:rPr>
          <w:rFonts w:hint="eastAsia" w:ascii="Times New Roman"/>
          <w:szCs w:val="32"/>
          <w:lang w:eastAsia="zh-CN"/>
        </w:rPr>
        <w:t>区人力资源和社会保障局</w:t>
      </w:r>
      <w:r>
        <w:rPr>
          <w:rFonts w:ascii="Times New Roman"/>
          <w:szCs w:val="32"/>
        </w:rPr>
        <w:t>《</w:t>
      </w:r>
      <w:r>
        <w:rPr>
          <w:rFonts w:hint="eastAsia" w:ascii="Times New Roman"/>
          <w:szCs w:val="32"/>
        </w:rPr>
        <w:t>关于印发&lt;西塞山区乡村医生养老保障实施方案&gt;的通知</w:t>
      </w:r>
      <w:r>
        <w:rPr>
          <w:rFonts w:ascii="Times New Roman"/>
          <w:szCs w:val="32"/>
        </w:rPr>
        <w:t>》（</w:t>
      </w:r>
      <w:r>
        <w:rPr>
          <w:rFonts w:hint="eastAsia" w:ascii="Times New Roman"/>
          <w:szCs w:val="32"/>
        </w:rPr>
        <w:t>西卫发</w:t>
      </w:r>
      <w:r>
        <w:rPr>
          <w:rFonts w:ascii="Times New Roman"/>
          <w:szCs w:val="32"/>
        </w:rPr>
        <w:t>〔20</w:t>
      </w:r>
      <w:r>
        <w:rPr>
          <w:rFonts w:hint="eastAsia" w:ascii="Times New Roman"/>
          <w:szCs w:val="32"/>
        </w:rPr>
        <w:t>20</w:t>
      </w:r>
      <w:r>
        <w:rPr>
          <w:rFonts w:ascii="Times New Roman"/>
          <w:szCs w:val="32"/>
        </w:rPr>
        <w:t>〕</w:t>
      </w:r>
      <w:r>
        <w:rPr>
          <w:rFonts w:hint="eastAsia" w:ascii="Times New Roman"/>
          <w:szCs w:val="32"/>
        </w:rPr>
        <w:t>21</w:t>
      </w:r>
      <w:r>
        <w:rPr>
          <w:rFonts w:ascii="Times New Roman"/>
          <w:szCs w:val="32"/>
        </w:rPr>
        <w:t>号）</w:t>
      </w:r>
      <w:r>
        <w:rPr>
          <w:rFonts w:hint="eastAsia" w:ascii="Times New Roman"/>
          <w:szCs w:val="32"/>
        </w:rPr>
        <w:t>，对符合条件的乡村医生按照2000元/人/年的上限标准予以补助。超出部分由乡村医生个人承担，低于2000元的，按实际缴费金额补助。</w:t>
      </w:r>
    </w:p>
    <w:p w14:paraId="3F9FA91D">
      <w:pPr>
        <w:numPr>
          <w:ilvl w:val="0"/>
          <w:numId w:val="5"/>
        </w:numPr>
        <w:tabs>
          <w:tab w:val="left" w:pos="0"/>
        </w:tabs>
        <w:spacing w:line="560" w:lineRule="exact"/>
        <w:ind w:firstLine="641" w:firstLineChars="203"/>
        <w:rPr>
          <w:rFonts w:ascii="Times New Roman"/>
          <w:szCs w:val="32"/>
        </w:rPr>
      </w:pPr>
      <w:r>
        <w:rPr>
          <w:rFonts w:hint="eastAsia" w:ascii="Times New Roman"/>
          <w:szCs w:val="32"/>
        </w:rPr>
        <w:t>根据西塞山区卫生健康局、西塞山</w:t>
      </w:r>
      <w:r>
        <w:rPr>
          <w:rFonts w:hint="eastAsia" w:ascii="Times New Roman"/>
          <w:szCs w:val="32"/>
          <w:lang w:eastAsia="zh-CN"/>
        </w:rPr>
        <w:t>区人力资源和社会保障局</w:t>
      </w:r>
      <w:r>
        <w:rPr>
          <w:rFonts w:ascii="Times New Roman"/>
          <w:szCs w:val="32"/>
        </w:rPr>
        <w:t>《</w:t>
      </w:r>
      <w:r>
        <w:rPr>
          <w:rFonts w:hint="eastAsia" w:ascii="Times New Roman"/>
          <w:szCs w:val="32"/>
        </w:rPr>
        <w:t>关于印发&lt;西塞山区到龄离岗乡村医生生活补助发放实施方案&gt;的通知</w:t>
      </w:r>
      <w:r>
        <w:rPr>
          <w:rFonts w:ascii="Times New Roman"/>
          <w:szCs w:val="32"/>
        </w:rPr>
        <w:t>》（</w:t>
      </w:r>
      <w:r>
        <w:rPr>
          <w:rFonts w:hint="eastAsia" w:ascii="Times New Roman"/>
          <w:szCs w:val="32"/>
        </w:rPr>
        <w:t>西卫发</w:t>
      </w:r>
      <w:r>
        <w:rPr>
          <w:rFonts w:ascii="Times New Roman"/>
          <w:szCs w:val="32"/>
        </w:rPr>
        <w:t>〔20</w:t>
      </w:r>
      <w:r>
        <w:rPr>
          <w:rFonts w:hint="eastAsia" w:ascii="Times New Roman"/>
          <w:szCs w:val="32"/>
        </w:rPr>
        <w:t>20</w:t>
      </w:r>
      <w:r>
        <w:rPr>
          <w:rFonts w:ascii="Times New Roman"/>
          <w:szCs w:val="32"/>
        </w:rPr>
        <w:t>〕</w:t>
      </w:r>
      <w:r>
        <w:rPr>
          <w:rFonts w:hint="eastAsia" w:ascii="Times New Roman"/>
          <w:szCs w:val="32"/>
        </w:rPr>
        <w:t>22</w:t>
      </w:r>
      <w:r>
        <w:rPr>
          <w:rFonts w:ascii="Times New Roman"/>
          <w:szCs w:val="32"/>
        </w:rPr>
        <w:t>号）</w:t>
      </w:r>
      <w:r>
        <w:rPr>
          <w:rFonts w:hint="eastAsia" w:ascii="Times New Roman"/>
          <w:szCs w:val="32"/>
        </w:rPr>
        <w:t>，对符合条件的乡村医生按工龄分段计算生活补助：工龄满10年按200元/人/月予以补助；工龄满10年后，每增加一年递加10元/月，最高不超过500元/月。</w:t>
      </w:r>
    </w:p>
    <w:p w14:paraId="6B278E28">
      <w:pPr>
        <w:numPr>
          <w:ilvl w:val="0"/>
          <w:numId w:val="5"/>
        </w:numPr>
        <w:tabs>
          <w:tab w:val="left" w:pos="0"/>
        </w:tabs>
        <w:spacing w:line="560" w:lineRule="exact"/>
        <w:ind w:firstLine="641" w:firstLineChars="203"/>
        <w:rPr>
          <w:rFonts w:ascii="Times New Roman"/>
          <w:szCs w:val="32"/>
        </w:rPr>
      </w:pPr>
      <w:r>
        <w:rPr>
          <w:rFonts w:hint="eastAsia" w:ascii="Times New Roman"/>
          <w:szCs w:val="32"/>
        </w:rPr>
        <w:t>根据《2022年省级基本公共卫生补助资金区域绩效目标表》，确定“适龄儿童国家免疫规划疫苗接种率”目标≥90%；儿童健康管理率目标≥85%；0-6岁儿童眼保健和视力检查覆盖率目标≥90%；孕产妇系统管理率目标≥90%。</w:t>
      </w:r>
    </w:p>
    <w:p w14:paraId="67857F74">
      <w:pPr>
        <w:numPr>
          <w:ilvl w:val="0"/>
          <w:numId w:val="5"/>
        </w:numPr>
        <w:tabs>
          <w:tab w:val="left" w:pos="0"/>
        </w:tabs>
        <w:spacing w:line="560" w:lineRule="exact"/>
        <w:ind w:firstLine="641" w:firstLineChars="203"/>
        <w:rPr>
          <w:rFonts w:ascii="Times New Roman"/>
          <w:szCs w:val="32"/>
        </w:rPr>
      </w:pPr>
      <w:r>
        <w:rPr>
          <w:rFonts w:hint="eastAsia" w:ascii="Times New Roman"/>
          <w:szCs w:val="32"/>
        </w:rPr>
        <w:t>根据《2022年高血压、糖尿病任务数分配》，西塞山区分配高血压患者管理人数目标16210人。</w:t>
      </w:r>
    </w:p>
    <w:p w14:paraId="077766C7">
      <w:pPr>
        <w:numPr>
          <w:ilvl w:val="0"/>
          <w:numId w:val="5"/>
        </w:numPr>
        <w:tabs>
          <w:tab w:val="left" w:pos="0"/>
        </w:tabs>
        <w:spacing w:line="560" w:lineRule="exact"/>
        <w:ind w:firstLine="641" w:firstLineChars="203"/>
        <w:rPr>
          <w:rFonts w:ascii="Times New Roman"/>
          <w:szCs w:val="32"/>
        </w:rPr>
      </w:pPr>
      <w:r>
        <w:rPr>
          <w:rFonts w:hint="eastAsia" w:ascii="Times New Roman"/>
          <w:szCs w:val="32"/>
        </w:rPr>
        <w:t>根据《西塞山区2022-2024年城乡适龄妇女宫颈癌免费筛查实施方案》，</w:t>
      </w:r>
      <w:r>
        <w:rPr>
          <w:rFonts w:hint="eastAsia"/>
          <w:bCs/>
          <w:szCs w:val="32"/>
          <w:lang w:val="en"/>
        </w:rPr>
        <w:t>2022年度为9514</w:t>
      </w:r>
      <w:r>
        <w:rPr>
          <w:rFonts w:hint="eastAsia"/>
          <w:bCs/>
          <w:szCs w:val="32"/>
        </w:rPr>
        <w:t>名城乡</w:t>
      </w:r>
      <w:r>
        <w:rPr>
          <w:rFonts w:hint="eastAsia"/>
          <w:bCs/>
          <w:szCs w:val="32"/>
          <w:lang w:val="en"/>
        </w:rPr>
        <w:t>适龄</w:t>
      </w:r>
      <w:r>
        <w:rPr>
          <w:rFonts w:hint="eastAsia"/>
          <w:bCs/>
          <w:szCs w:val="32"/>
        </w:rPr>
        <w:t>妇女</w:t>
      </w:r>
      <w:r>
        <w:rPr>
          <w:rFonts w:hint="eastAsia"/>
          <w:bCs/>
          <w:szCs w:val="32"/>
          <w:lang w:val="en"/>
        </w:rPr>
        <w:t>进行</w:t>
      </w:r>
      <w:r>
        <w:rPr>
          <w:rFonts w:hint="eastAsia"/>
          <w:bCs/>
          <w:szCs w:val="32"/>
        </w:rPr>
        <w:t>宫颈癌免费筛查</w:t>
      </w:r>
      <w:r>
        <w:rPr>
          <w:rFonts w:hint="eastAsia" w:ascii="Times New Roman"/>
          <w:szCs w:val="32"/>
        </w:rPr>
        <w:t>。</w:t>
      </w:r>
    </w:p>
    <w:p w14:paraId="0AAE8769">
      <w:pPr>
        <w:numPr>
          <w:ilvl w:val="0"/>
          <w:numId w:val="5"/>
        </w:numPr>
        <w:tabs>
          <w:tab w:val="left" w:pos="0"/>
        </w:tabs>
        <w:spacing w:line="560" w:lineRule="exact"/>
        <w:ind w:firstLine="641" w:firstLineChars="203"/>
        <w:rPr>
          <w:rFonts w:ascii="Times New Roman"/>
          <w:szCs w:val="32"/>
        </w:rPr>
      </w:pPr>
      <w:r>
        <w:rPr>
          <w:rFonts w:hint="eastAsia" w:ascii="Times New Roman"/>
          <w:szCs w:val="32"/>
        </w:rPr>
        <w:t>规范居民电子健康档案管理，在确保人数覆盖不少于61%的情况下，保证信息准确，注意减去死亡、迁出、失访的健康档案终止人数，注意排除重复建档情况。</w:t>
      </w:r>
    </w:p>
    <w:p w14:paraId="648D7393">
      <w:pPr>
        <w:numPr>
          <w:ilvl w:val="0"/>
          <w:numId w:val="5"/>
        </w:numPr>
        <w:tabs>
          <w:tab w:val="left" w:pos="0"/>
        </w:tabs>
        <w:spacing w:line="560" w:lineRule="exact"/>
        <w:ind w:firstLine="641" w:firstLineChars="203"/>
        <w:rPr>
          <w:rFonts w:ascii="Times New Roman"/>
          <w:szCs w:val="32"/>
        </w:rPr>
      </w:pPr>
      <w:r>
        <w:rPr>
          <w:rFonts w:hint="eastAsia" w:ascii="Times New Roman"/>
          <w:szCs w:val="32"/>
        </w:rPr>
        <w:t>根据《严重精神障碍管理治疗工作目标》，严重精神障碍患者规范管理率及面访率达90%以上。</w:t>
      </w:r>
    </w:p>
    <w:p w14:paraId="2197C398">
      <w:pPr>
        <w:numPr>
          <w:ilvl w:val="0"/>
          <w:numId w:val="5"/>
        </w:numPr>
        <w:tabs>
          <w:tab w:val="left" w:pos="0"/>
        </w:tabs>
        <w:spacing w:line="560" w:lineRule="exact"/>
        <w:ind w:firstLine="641" w:firstLineChars="203"/>
        <w:rPr>
          <w:rFonts w:ascii="Times New Roman" w:eastAsia="楷体"/>
          <w:szCs w:val="36"/>
        </w:rPr>
      </w:pPr>
      <w:r>
        <w:rPr>
          <w:rFonts w:hint="eastAsia" w:ascii="Times New Roman"/>
          <w:szCs w:val="32"/>
        </w:rPr>
        <w:t>计划2022年全区5家社区卫生服务中心和1家卫生院力争全部达到“省优质服务基层行创建”基本标准，创建社区医院1家。</w:t>
      </w:r>
      <w:bookmarkStart w:id="6" w:name="_Toc40281674"/>
      <w:bookmarkStart w:id="7" w:name="_Toc40281677"/>
    </w:p>
    <w:p w14:paraId="563754FE">
      <w:pPr>
        <w:numPr>
          <w:ilvl w:val="0"/>
          <w:numId w:val="5"/>
        </w:numPr>
        <w:tabs>
          <w:tab w:val="left" w:pos="0"/>
        </w:tabs>
        <w:spacing w:line="560" w:lineRule="exact"/>
        <w:ind w:firstLine="641" w:firstLineChars="203"/>
        <w:rPr>
          <w:rFonts w:ascii="Times New Roman"/>
          <w:szCs w:val="32"/>
        </w:rPr>
      </w:pPr>
      <w:r>
        <w:rPr>
          <w:rFonts w:hint="eastAsia" w:ascii="Times New Roman"/>
          <w:szCs w:val="32"/>
        </w:rPr>
        <w:t>定期进行学生常见病监测、传染病疫情及时上报，健康教育和促进，不断提高居民素养水平。</w:t>
      </w:r>
    </w:p>
    <w:p w14:paraId="23C465A6">
      <w:pPr>
        <w:pStyle w:val="4"/>
        <w:ind w:firstLine="633"/>
        <w:rPr>
          <w:rFonts w:ascii="Times New Roman" w:eastAsia="楷体"/>
          <w:b w:val="0"/>
          <w:bCs w:val="0"/>
          <w:sz w:val="32"/>
          <w:szCs w:val="40"/>
        </w:rPr>
      </w:pPr>
      <w:r>
        <w:rPr>
          <w:rFonts w:hint="eastAsia" w:ascii="Times New Roman" w:eastAsia="楷体"/>
          <w:sz w:val="32"/>
          <w:szCs w:val="40"/>
        </w:rPr>
        <w:t>（二）</w:t>
      </w:r>
      <w:r>
        <w:rPr>
          <w:rFonts w:ascii="Times New Roman" w:eastAsia="楷体"/>
          <w:sz w:val="32"/>
          <w:szCs w:val="40"/>
        </w:rPr>
        <w:t>绩效评价工作开展情况</w:t>
      </w:r>
      <w:bookmarkEnd w:id="6"/>
    </w:p>
    <w:p w14:paraId="407C4ED2">
      <w:pPr>
        <w:tabs>
          <w:tab w:val="left" w:pos="0"/>
        </w:tabs>
        <w:spacing w:line="560" w:lineRule="exact"/>
        <w:ind w:firstLine="948" w:firstLineChars="300"/>
        <w:rPr>
          <w:rFonts w:ascii="Times New Roman" w:eastAsia="楷体"/>
          <w:b/>
          <w:bCs/>
          <w:szCs w:val="36"/>
        </w:rPr>
      </w:pPr>
      <w:r>
        <w:rPr>
          <w:rFonts w:ascii="Times New Roman"/>
          <w:b/>
          <w:bCs/>
          <w:szCs w:val="36"/>
        </w:rPr>
        <w:t>1、评价目的、对象和范围</w:t>
      </w:r>
    </w:p>
    <w:p w14:paraId="7BE8ACFF">
      <w:pPr>
        <w:spacing w:line="560" w:lineRule="exact"/>
        <w:ind w:firstLine="632" w:firstLineChars="200"/>
        <w:rPr>
          <w:rFonts w:ascii="Times New Roman"/>
        </w:rPr>
      </w:pPr>
      <w:r>
        <w:rPr>
          <w:rFonts w:ascii="Times New Roman"/>
          <w:szCs w:val="32"/>
        </w:rPr>
        <w:t>为全面了解202</w:t>
      </w:r>
      <w:r>
        <w:rPr>
          <w:rFonts w:hint="eastAsia" w:ascii="Times New Roman"/>
          <w:szCs w:val="32"/>
        </w:rPr>
        <w:t>2</w:t>
      </w:r>
      <w:r>
        <w:rPr>
          <w:rFonts w:ascii="Times New Roman"/>
          <w:szCs w:val="32"/>
        </w:rPr>
        <w:t>年</w:t>
      </w:r>
      <w:r>
        <w:rPr>
          <w:rFonts w:hint="eastAsia" w:ascii="Times New Roman"/>
          <w:szCs w:val="32"/>
        </w:rPr>
        <w:t>黄石市西塞山区卫生健康局部门整体预算收支、目标</w:t>
      </w:r>
      <w:r>
        <w:rPr>
          <w:rFonts w:ascii="Times New Roman"/>
          <w:szCs w:val="32"/>
        </w:rPr>
        <w:t>实施情况以及取得的综合绩效，根据</w:t>
      </w:r>
      <w:r>
        <w:rPr>
          <w:rFonts w:ascii="Times New Roman"/>
        </w:rPr>
        <w:t>财政部《关于全面实施预算绩效管理的意见》（中发〔2018〕34号文件）、湖北省财政厅</w:t>
      </w:r>
      <w:r>
        <w:rPr>
          <w:rFonts w:hint="eastAsia" w:ascii="Times New Roman"/>
        </w:rPr>
        <w:t>《</w:t>
      </w:r>
      <w:r>
        <w:rPr>
          <w:rFonts w:ascii="Times New Roman"/>
        </w:rPr>
        <w:t>关于印发全面实施预算绩效管理系列制度</w:t>
      </w:r>
      <w:r>
        <w:rPr>
          <w:rFonts w:hint="eastAsia" w:ascii="Times New Roman"/>
        </w:rPr>
        <w:t>》</w:t>
      </w:r>
      <w:r>
        <w:rPr>
          <w:rFonts w:ascii="Times New Roman"/>
        </w:rPr>
        <w:t>的通知（鄂财绩发〔2020〕3号）</w:t>
      </w:r>
      <w:r>
        <w:rPr>
          <w:rFonts w:hint="eastAsia" w:ascii="Times New Roman"/>
        </w:rPr>
        <w:t>、</w:t>
      </w:r>
      <w:r>
        <w:rPr>
          <w:rFonts w:ascii="Times New Roman"/>
        </w:rPr>
        <w:t>湖北省财政厅关于印发</w:t>
      </w:r>
      <w:r>
        <w:rPr>
          <w:rFonts w:hint="eastAsia" w:ascii="Times New Roman"/>
        </w:rPr>
        <w:t>《湖北省省直部门整体绩效管理暂行办法</w:t>
      </w:r>
      <w:r>
        <w:rPr>
          <w:rFonts w:ascii="Times New Roman"/>
        </w:rPr>
        <w:t>》</w:t>
      </w:r>
      <w:r>
        <w:rPr>
          <w:rFonts w:hint="eastAsia" w:ascii="Times New Roman"/>
        </w:rPr>
        <w:t>的通知</w:t>
      </w:r>
      <w:r>
        <w:rPr>
          <w:rFonts w:ascii="Times New Roman"/>
        </w:rPr>
        <w:t>（鄂财绩发〔202</w:t>
      </w:r>
      <w:r>
        <w:rPr>
          <w:rFonts w:hint="eastAsia" w:ascii="Times New Roman"/>
        </w:rPr>
        <w:t>3</w:t>
      </w:r>
      <w:r>
        <w:rPr>
          <w:rFonts w:ascii="Times New Roman"/>
        </w:rPr>
        <w:t>〕</w:t>
      </w:r>
      <w:r>
        <w:rPr>
          <w:rFonts w:hint="eastAsia" w:ascii="Times New Roman"/>
        </w:rPr>
        <w:t>4</w:t>
      </w:r>
      <w:r>
        <w:rPr>
          <w:rFonts w:ascii="Times New Roman"/>
        </w:rPr>
        <w:t>号）</w:t>
      </w:r>
      <w:r>
        <w:rPr>
          <w:rFonts w:hint="eastAsia" w:ascii="Times New Roman"/>
        </w:rPr>
        <w:t>、</w:t>
      </w:r>
      <w:r>
        <w:rPr>
          <w:rFonts w:ascii="Times New Roman"/>
        </w:rPr>
        <w:t>等文件的相关要求，结合评价</w:t>
      </w:r>
      <w:r>
        <w:rPr>
          <w:rFonts w:hint="eastAsia" w:ascii="Times New Roman"/>
        </w:rPr>
        <w:t>部门</w:t>
      </w:r>
      <w:r>
        <w:rPr>
          <w:rFonts w:ascii="Times New Roman"/>
        </w:rPr>
        <w:t>的情况和特点，</w:t>
      </w:r>
      <w:r>
        <w:rPr>
          <w:rFonts w:hint="eastAsia" w:ascii="Times New Roman"/>
        </w:rPr>
        <w:t>围绕部门和单位职责、行业发展规划，</w:t>
      </w:r>
      <w:r>
        <w:rPr>
          <w:rFonts w:ascii="Times New Roman"/>
        </w:rPr>
        <w:t>运用科学、规范的绩效评价方法，科学、客观、公正的对</w:t>
      </w:r>
      <w:r>
        <w:rPr>
          <w:rFonts w:ascii="Times New Roman"/>
          <w:szCs w:val="32"/>
        </w:rPr>
        <w:t>202</w:t>
      </w:r>
      <w:r>
        <w:rPr>
          <w:rFonts w:hint="eastAsia" w:ascii="Times New Roman"/>
          <w:szCs w:val="32"/>
        </w:rPr>
        <w:t>2</w:t>
      </w:r>
      <w:r>
        <w:rPr>
          <w:rFonts w:ascii="Times New Roman"/>
          <w:szCs w:val="32"/>
        </w:rPr>
        <w:t>年</w:t>
      </w:r>
      <w:r>
        <w:rPr>
          <w:rFonts w:hint="eastAsia" w:ascii="Times New Roman"/>
          <w:szCs w:val="32"/>
        </w:rPr>
        <w:t>黄石市西塞山区卫生健康局部门整体绩效</w:t>
      </w:r>
      <w:r>
        <w:rPr>
          <w:rFonts w:ascii="Times New Roman"/>
        </w:rPr>
        <w:t>进行综合性评价。通过绩效评价，发现</w:t>
      </w:r>
      <w:r>
        <w:rPr>
          <w:rFonts w:hint="eastAsia" w:ascii="Times New Roman"/>
        </w:rPr>
        <w:t>资金管理、资产和业务活动方面</w:t>
      </w:r>
      <w:r>
        <w:rPr>
          <w:rFonts w:ascii="Times New Roman"/>
        </w:rPr>
        <w:t>存在的问题，</w:t>
      </w:r>
      <w:r>
        <w:rPr>
          <w:rFonts w:hint="eastAsia" w:ascii="Times New Roman"/>
        </w:rPr>
        <w:t>提高部门管理水平</w:t>
      </w:r>
      <w:r>
        <w:rPr>
          <w:rFonts w:ascii="Times New Roman"/>
        </w:rPr>
        <w:t>。</w:t>
      </w:r>
    </w:p>
    <w:p w14:paraId="2841A341">
      <w:pPr>
        <w:spacing w:line="560" w:lineRule="exact"/>
        <w:ind w:firstLine="632" w:firstLineChars="200"/>
        <w:rPr>
          <w:rFonts w:ascii="Times New Roman"/>
        </w:rPr>
      </w:pPr>
      <w:r>
        <w:rPr>
          <w:rFonts w:ascii="Times New Roman"/>
        </w:rPr>
        <w:t>本次评价范围包括</w:t>
      </w:r>
      <w:r>
        <w:rPr>
          <w:rFonts w:ascii="Times New Roman"/>
          <w:szCs w:val="32"/>
        </w:rPr>
        <w:t>202</w:t>
      </w:r>
      <w:r>
        <w:rPr>
          <w:rFonts w:hint="eastAsia" w:ascii="Times New Roman"/>
          <w:szCs w:val="32"/>
        </w:rPr>
        <w:t>2</w:t>
      </w:r>
      <w:r>
        <w:rPr>
          <w:rFonts w:ascii="Times New Roman"/>
          <w:szCs w:val="32"/>
        </w:rPr>
        <w:t>年</w:t>
      </w:r>
      <w:r>
        <w:rPr>
          <w:rFonts w:hint="eastAsia" w:ascii="Times New Roman"/>
          <w:szCs w:val="32"/>
        </w:rPr>
        <w:t>黄石市西塞山区卫生健康局部门整体</w:t>
      </w:r>
      <w:r>
        <w:rPr>
          <w:rFonts w:ascii="Times New Roman"/>
        </w:rPr>
        <w:t>的</w:t>
      </w:r>
      <w:r>
        <w:rPr>
          <w:rFonts w:hint="eastAsia" w:ascii="Times New Roman"/>
        </w:rPr>
        <w:t>运行成本</w:t>
      </w:r>
      <w:r>
        <w:rPr>
          <w:rFonts w:ascii="Times New Roman"/>
        </w:rPr>
        <w:t>、管理</w:t>
      </w:r>
      <w:r>
        <w:rPr>
          <w:rFonts w:hint="eastAsia" w:ascii="Times New Roman"/>
        </w:rPr>
        <w:t>效率</w:t>
      </w:r>
      <w:r>
        <w:rPr>
          <w:rFonts w:ascii="Times New Roman"/>
        </w:rPr>
        <w:t>、</w:t>
      </w:r>
      <w:r>
        <w:rPr>
          <w:rFonts w:hint="eastAsia" w:ascii="Times New Roman"/>
        </w:rPr>
        <w:t>履职效能</w:t>
      </w:r>
      <w:r>
        <w:rPr>
          <w:rFonts w:ascii="Times New Roman"/>
        </w:rPr>
        <w:t>、</w:t>
      </w:r>
      <w:r>
        <w:rPr>
          <w:rFonts w:hint="eastAsia" w:ascii="Times New Roman"/>
        </w:rPr>
        <w:t>社会效应、可持续发展能力</w:t>
      </w:r>
      <w:r>
        <w:rPr>
          <w:rFonts w:ascii="Times New Roman"/>
        </w:rPr>
        <w:t>及</w:t>
      </w:r>
      <w:r>
        <w:rPr>
          <w:rFonts w:hint="eastAsia" w:ascii="Times New Roman"/>
        </w:rPr>
        <w:t>满意度</w:t>
      </w:r>
      <w:r>
        <w:rPr>
          <w:rFonts w:ascii="Times New Roman"/>
        </w:rPr>
        <w:t>。</w:t>
      </w:r>
      <w:bookmarkStart w:id="8" w:name="_Hlk54186767"/>
    </w:p>
    <w:p w14:paraId="7920CEC0">
      <w:pPr>
        <w:numPr>
          <w:ilvl w:val="0"/>
          <w:numId w:val="6"/>
        </w:numPr>
        <w:spacing w:line="560" w:lineRule="exact"/>
        <w:ind w:firstLine="632" w:firstLineChars="200"/>
        <w:rPr>
          <w:rFonts w:ascii="Times New Roman"/>
          <w:b/>
          <w:bCs/>
          <w:szCs w:val="36"/>
        </w:rPr>
      </w:pPr>
      <w:r>
        <w:rPr>
          <w:rFonts w:hint="eastAsia" w:ascii="Times New Roman"/>
          <w:b/>
          <w:bCs/>
          <w:szCs w:val="36"/>
        </w:rPr>
        <w:t>绩效评价原则</w:t>
      </w:r>
    </w:p>
    <w:p w14:paraId="7AA8894B">
      <w:pPr>
        <w:spacing w:line="560" w:lineRule="exact"/>
        <w:ind w:firstLine="632" w:firstLineChars="200"/>
        <w:rPr>
          <w:rFonts w:ascii="Times New Roman"/>
          <w:szCs w:val="36"/>
        </w:rPr>
      </w:pPr>
      <w:r>
        <w:rPr>
          <w:rFonts w:hint="eastAsia" w:ascii="Times New Roman"/>
          <w:szCs w:val="36"/>
        </w:rPr>
        <w:t>本次绩效评价遵循以下原则：</w:t>
      </w:r>
    </w:p>
    <w:p w14:paraId="2EA7F1AA">
      <w:pPr>
        <w:numPr>
          <w:ilvl w:val="0"/>
          <w:numId w:val="7"/>
        </w:numPr>
        <w:spacing w:line="560" w:lineRule="exact"/>
        <w:ind w:firstLine="632" w:firstLineChars="200"/>
        <w:rPr>
          <w:rFonts w:ascii="Times New Roman"/>
          <w:szCs w:val="36"/>
        </w:rPr>
      </w:pPr>
      <w:r>
        <w:rPr>
          <w:rFonts w:hint="eastAsia" w:ascii="Times New Roman"/>
          <w:szCs w:val="36"/>
        </w:rPr>
        <w:t>科学规范原则。本次绩效评价将严格执行规定的程序，按照科学可行的要求，采用定量与定性分析相结合的方法，对“西塞山区卫生健康局2022年部门整体”的财政资金使用及重点工作完成情况进行绩效评价。同时，在履职效能方面将采用量化程度较高的明细指标，以取得量化数据为基础进行评分，从而降低评价人员的主观影响。</w:t>
      </w:r>
    </w:p>
    <w:p w14:paraId="7BEEE47D">
      <w:pPr>
        <w:numPr>
          <w:ilvl w:val="0"/>
          <w:numId w:val="7"/>
        </w:numPr>
        <w:spacing w:line="560" w:lineRule="exact"/>
        <w:ind w:firstLine="632" w:firstLineChars="200"/>
        <w:rPr>
          <w:rFonts w:ascii="Times New Roman"/>
          <w:szCs w:val="36"/>
        </w:rPr>
      </w:pPr>
      <w:r>
        <w:rPr>
          <w:rFonts w:hint="eastAsia" w:ascii="Times New Roman"/>
          <w:szCs w:val="36"/>
        </w:rPr>
        <w:t>公正公开原则。绩效评价符合真实、客观、公正的要求，依法公开并接受监督。</w:t>
      </w:r>
    </w:p>
    <w:p w14:paraId="16C09888">
      <w:pPr>
        <w:numPr>
          <w:ilvl w:val="0"/>
          <w:numId w:val="7"/>
        </w:numPr>
        <w:spacing w:line="560" w:lineRule="exact"/>
        <w:ind w:firstLine="632" w:firstLineChars="200"/>
        <w:rPr>
          <w:rFonts w:ascii="Times New Roman"/>
          <w:szCs w:val="36"/>
        </w:rPr>
      </w:pPr>
      <w:r>
        <w:rPr>
          <w:rFonts w:hint="eastAsia" w:ascii="Times New Roman"/>
          <w:szCs w:val="36"/>
        </w:rPr>
        <w:t>突出重点原则。本次绩效评价多角度、全方位把握，综合采用各种方法予以分析研究，全面反映被评价项目的绩效。同时，注重部门的重点工作，筛选出最重要和关键的绩效因素，突出西塞山区卫生健康局2022年部门整体工作绩效的特点。</w:t>
      </w:r>
    </w:p>
    <w:p w14:paraId="75A85C77">
      <w:pPr>
        <w:numPr>
          <w:ilvl w:val="0"/>
          <w:numId w:val="7"/>
        </w:numPr>
        <w:spacing w:line="560" w:lineRule="exact"/>
        <w:ind w:firstLine="632" w:firstLineChars="200"/>
        <w:rPr>
          <w:rFonts w:ascii="Times New Roman"/>
          <w:szCs w:val="36"/>
        </w:rPr>
      </w:pPr>
      <w:r>
        <w:rPr>
          <w:rFonts w:hint="eastAsia" w:ascii="Times New Roman"/>
          <w:szCs w:val="36"/>
        </w:rPr>
        <w:t>绩效相关原则。本次绩效评价主要针对履职效能及社会效应绩效进行，使用的均为能够恰当反映部门目标实现程度的绩效指标。</w:t>
      </w:r>
    </w:p>
    <w:p w14:paraId="56F030DF">
      <w:pPr>
        <w:numPr>
          <w:ilvl w:val="0"/>
          <w:numId w:val="6"/>
        </w:numPr>
        <w:spacing w:line="560" w:lineRule="exact"/>
        <w:ind w:firstLine="632" w:firstLineChars="200"/>
        <w:rPr>
          <w:rFonts w:ascii="Times New Roman"/>
          <w:b/>
          <w:bCs/>
          <w:szCs w:val="36"/>
        </w:rPr>
      </w:pPr>
      <w:r>
        <w:rPr>
          <w:rFonts w:hint="eastAsia" w:ascii="Times New Roman"/>
          <w:b/>
          <w:bCs/>
          <w:szCs w:val="36"/>
        </w:rPr>
        <w:t>绩效评价指标体系</w:t>
      </w:r>
    </w:p>
    <w:p w14:paraId="578FCDBA">
      <w:pPr>
        <w:spacing w:line="560" w:lineRule="exact"/>
        <w:ind w:left="12" w:firstLine="620" w:firstLineChars="196"/>
        <w:rPr>
          <w:rFonts w:ascii="Times New Roman"/>
          <w:szCs w:val="36"/>
        </w:rPr>
      </w:pPr>
      <w:r>
        <w:rPr>
          <w:rFonts w:hint="eastAsia" w:ascii="Times New Roman"/>
          <w:szCs w:val="36"/>
        </w:rPr>
        <w:t>根据《湖北省省直部门整体绩效评价共性指标体系参考框架》的部门整体支出指标体系框架，结合工作实际，制定本次绩效评价指标体系，分为运行成本、管理效率、履职效能、社会效应、可持续发展能力及满意度六个一级指标。其中：“运行成本”为共性指标，权重8分，主要评价公用经费控制、在职人员控制及项目支出成本控制情况；“管理效率”为共性指标，权重22分，主要评价战略管理、预算编制、预算执行、绩效管理、资产管理和财务管理情况；“履职效能”为个性指标，权重54分，主要评价职责履行实际完成率、质量达标率和完成及时率；“社会效应”为个性指标，权重6分，主要评价社会效益情况；“可持续发展能力”为共性指标，权重6分，主要评价体制机制改革、人才支撑和科技支撑；“满意度”为共性指标，权重4分，主要评价服务对象和联系部门满意度情况。同时，按照绩效评价总体要求和部门整体支出内容设计了50个三级指标（详见附表1）。</w:t>
      </w:r>
    </w:p>
    <w:p w14:paraId="42D435EE">
      <w:pPr>
        <w:spacing w:line="560" w:lineRule="exact"/>
        <w:ind w:left="12" w:firstLine="620" w:firstLineChars="196"/>
        <w:rPr>
          <w:rFonts w:ascii="Times New Roman"/>
          <w:szCs w:val="36"/>
        </w:rPr>
      </w:pPr>
      <w:r>
        <w:rPr>
          <w:rFonts w:hint="eastAsia" w:ascii="Times New Roman"/>
          <w:szCs w:val="36"/>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225D1BC">
      <w:pPr>
        <w:numPr>
          <w:ilvl w:val="0"/>
          <w:numId w:val="6"/>
        </w:numPr>
        <w:spacing w:line="560" w:lineRule="exact"/>
        <w:ind w:firstLine="632" w:firstLineChars="200"/>
        <w:rPr>
          <w:rFonts w:ascii="Times New Roman"/>
          <w:b/>
          <w:bCs/>
          <w:szCs w:val="36"/>
        </w:rPr>
      </w:pPr>
      <w:r>
        <w:rPr>
          <w:rFonts w:hint="eastAsia" w:ascii="Times New Roman"/>
          <w:b/>
          <w:bCs/>
          <w:szCs w:val="36"/>
        </w:rPr>
        <w:t>绩效评价方法</w:t>
      </w:r>
    </w:p>
    <w:p w14:paraId="5FEC172D">
      <w:pPr>
        <w:spacing w:line="560" w:lineRule="exact"/>
        <w:ind w:firstLine="641" w:firstLineChars="203"/>
        <w:rPr>
          <w:rFonts w:ascii="Times New Roman"/>
          <w:szCs w:val="36"/>
        </w:rPr>
      </w:pPr>
      <w:r>
        <w:rPr>
          <w:rFonts w:hint="eastAsia" w:ascii="Times New Roman"/>
          <w:szCs w:val="36"/>
        </w:rPr>
        <w:t>本次评价主要采用比较法、因素分析法、专家评议法和公众评判法四种方法。</w:t>
      </w:r>
    </w:p>
    <w:p w14:paraId="7F41F92D">
      <w:pPr>
        <w:numPr>
          <w:ilvl w:val="0"/>
          <w:numId w:val="8"/>
        </w:numPr>
        <w:spacing w:line="560" w:lineRule="exact"/>
        <w:ind w:firstLine="641" w:firstLineChars="203"/>
        <w:rPr>
          <w:rFonts w:ascii="Times New Roman"/>
          <w:szCs w:val="36"/>
        </w:rPr>
      </w:pPr>
      <w:r>
        <w:rPr>
          <w:rFonts w:hint="eastAsia" w:ascii="Times New Roman"/>
          <w:szCs w:val="36"/>
        </w:rPr>
        <w:t>比较法。通过对绩效目标与绩效结果、历史情况和考评期情况的比较，综合分析考评绩效目标完成情况的评价方法。</w:t>
      </w:r>
    </w:p>
    <w:p w14:paraId="21013FC4">
      <w:pPr>
        <w:numPr>
          <w:ilvl w:val="0"/>
          <w:numId w:val="8"/>
        </w:numPr>
        <w:spacing w:line="560" w:lineRule="exact"/>
        <w:ind w:firstLine="641" w:firstLineChars="203"/>
        <w:rPr>
          <w:rFonts w:ascii="Times New Roman"/>
          <w:szCs w:val="36"/>
        </w:rPr>
      </w:pPr>
      <w:r>
        <w:rPr>
          <w:rFonts w:hint="eastAsia" w:ascii="Times New Roman"/>
          <w:szCs w:val="36"/>
        </w:rPr>
        <w:t>因素分析法。通过分析影响目标、结果及成本的内外因素，综合分析评价绩效目标完成情况，总结项目实施过程中的经验、问题，提出项目改进建议。</w:t>
      </w:r>
    </w:p>
    <w:p w14:paraId="47F804F7">
      <w:pPr>
        <w:numPr>
          <w:ilvl w:val="0"/>
          <w:numId w:val="8"/>
        </w:numPr>
        <w:spacing w:line="560" w:lineRule="exact"/>
        <w:ind w:firstLine="641" w:firstLineChars="203"/>
        <w:rPr>
          <w:rFonts w:ascii="Times New Roman"/>
          <w:szCs w:val="36"/>
        </w:rPr>
      </w:pPr>
      <w:r>
        <w:rPr>
          <w:rFonts w:hint="eastAsia" w:ascii="Times New Roman"/>
          <w:szCs w:val="36"/>
        </w:rPr>
        <w:t>专家评议法。在定量和定性分析的基础上，以打分等方式做出定量评价。根据需求邀请相关专家组成评价小组，到项目单位采取勘察、问询、复核、访谈等方式，对有关情况进行核实，对掌握的有关资料进行整理分析，及时提供专业的咨询意见，专家根据评价标准和行业经验进行评分。</w:t>
      </w:r>
    </w:p>
    <w:p w14:paraId="10E34B81">
      <w:pPr>
        <w:numPr>
          <w:ilvl w:val="0"/>
          <w:numId w:val="8"/>
        </w:numPr>
        <w:spacing w:line="560" w:lineRule="exact"/>
        <w:ind w:firstLine="641" w:firstLineChars="203"/>
        <w:rPr>
          <w:rFonts w:ascii="Times New Roman" w:eastAsia="楷体"/>
          <w:szCs w:val="36"/>
        </w:rPr>
      </w:pPr>
      <w:r>
        <w:rPr>
          <w:rFonts w:hint="eastAsia" w:ascii="Times New Roman"/>
          <w:szCs w:val="36"/>
        </w:rPr>
        <w:t>公众评判法。通过专家评估、公众问卷及抽样调查等方式，对财政支出的效率性和效益性进行评判，评价绩效目标的实现程度。</w:t>
      </w:r>
    </w:p>
    <w:p w14:paraId="7AD44A2F">
      <w:pPr>
        <w:numPr>
          <w:ilvl w:val="0"/>
          <w:numId w:val="6"/>
        </w:numPr>
        <w:spacing w:line="560" w:lineRule="exact"/>
        <w:ind w:firstLine="632" w:firstLineChars="200"/>
        <w:rPr>
          <w:rFonts w:ascii="Times New Roman"/>
          <w:b/>
          <w:bCs/>
          <w:szCs w:val="36"/>
        </w:rPr>
      </w:pPr>
      <w:r>
        <w:rPr>
          <w:rFonts w:ascii="Times New Roman"/>
          <w:b/>
          <w:bCs/>
          <w:szCs w:val="36"/>
        </w:rPr>
        <w:t>评价</w:t>
      </w:r>
      <w:r>
        <w:rPr>
          <w:rFonts w:hint="eastAsia" w:ascii="Times New Roman"/>
          <w:b/>
          <w:bCs/>
          <w:szCs w:val="36"/>
        </w:rPr>
        <w:t>依据</w:t>
      </w:r>
      <w:bookmarkEnd w:id="8"/>
      <w:bookmarkStart w:id="9" w:name="_Toc40281675"/>
      <w:bookmarkStart w:id="10" w:name="_Hlk53735985"/>
    </w:p>
    <w:p w14:paraId="3D2EE15D">
      <w:pPr>
        <w:spacing w:line="560" w:lineRule="exact"/>
        <w:ind w:left="632" w:leftChars="200"/>
        <w:rPr>
          <w:rFonts w:hAnsi="仿宋_GB2312" w:cs="仿宋_GB2312"/>
          <w:szCs w:val="32"/>
        </w:rPr>
      </w:pPr>
      <w:r>
        <w:rPr>
          <w:rFonts w:hint="eastAsia" w:hAnsi="仿宋_GB2312" w:cs="仿宋_GB2312"/>
          <w:szCs w:val="32"/>
        </w:rPr>
        <w:t>（1）绩效评价管理文件</w:t>
      </w:r>
    </w:p>
    <w:p w14:paraId="4A888307">
      <w:pPr>
        <w:adjustRightInd w:val="0"/>
        <w:snapToGrid w:val="0"/>
        <w:spacing w:line="580" w:lineRule="exact"/>
        <w:ind w:firstLine="632" w:firstLineChars="200"/>
        <w:rPr>
          <w:rFonts w:hAnsi="仿宋_GB2312" w:cs="仿宋_GB2312"/>
          <w:szCs w:val="32"/>
        </w:rPr>
      </w:pPr>
      <w:r>
        <w:rPr>
          <w:rFonts w:hint="eastAsia" w:hAnsi="仿宋_GB2312" w:cs="仿宋_GB2312"/>
          <w:szCs w:val="32"/>
        </w:rPr>
        <w:t>《中华人民共和国预算法实施条例》</w:t>
      </w:r>
    </w:p>
    <w:p w14:paraId="72178000">
      <w:pPr>
        <w:adjustRightInd w:val="0"/>
        <w:snapToGrid w:val="0"/>
        <w:spacing w:line="580" w:lineRule="exact"/>
        <w:ind w:firstLine="632" w:firstLineChars="200"/>
        <w:rPr>
          <w:rFonts w:hAnsi="仿宋_GB2312" w:cs="仿宋_GB2312"/>
          <w:szCs w:val="32"/>
        </w:rPr>
      </w:pPr>
      <w:r>
        <w:rPr>
          <w:rFonts w:hint="eastAsia" w:hAnsi="仿宋_GB2312" w:cs="仿宋_GB2312"/>
          <w:szCs w:val="32"/>
        </w:rPr>
        <w:t xml:space="preserve">《湖北省财政厅关于印发&lt;湖北省省直部门整体绩效管理暂行办法&gt;的通知》（鄂财绩发〔2023〕4号）； </w:t>
      </w:r>
    </w:p>
    <w:p w14:paraId="0A9685C0">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《湖北省财政厅关于印发全面实施预算绩效管理系列制度的通知》（鄂财绩发〔2020〕3号）；</w:t>
      </w:r>
    </w:p>
    <w:p w14:paraId="4B95D311">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《湖北省财政厅关于做好当前预算绩效管理重点工作有关事项的通知》（鄂财绩发〔2020〕4号）；</w:t>
      </w:r>
    </w:p>
    <w:p w14:paraId="4DCF157B">
      <w:pPr>
        <w:adjustRightInd w:val="0"/>
        <w:snapToGrid w:val="0"/>
        <w:spacing w:line="580" w:lineRule="exact"/>
        <w:ind w:firstLine="632" w:firstLineChars="200"/>
        <w:rPr>
          <w:rFonts w:hAnsi="仿宋_GB2312" w:cs="仿宋_GB2312"/>
          <w:szCs w:val="32"/>
        </w:rPr>
      </w:pPr>
      <w:r>
        <w:rPr>
          <w:rFonts w:hint="eastAsia" w:hAnsi="仿宋_GB2312" w:cs="仿宋_GB2312"/>
          <w:szCs w:val="32"/>
        </w:rPr>
        <w:t>《关于委托第三方机构参与预算绩效管理的指导意见》（财预〔2021〕6号）；</w:t>
      </w:r>
    </w:p>
    <w:p w14:paraId="1C77F583">
      <w:pPr>
        <w:adjustRightInd w:val="0"/>
        <w:snapToGrid w:val="0"/>
        <w:spacing w:line="580" w:lineRule="exact"/>
        <w:ind w:firstLine="632" w:firstLineChars="200"/>
        <w:rPr>
          <w:rFonts w:hAnsi="仿宋_GB2312" w:cs="仿宋_GB2312"/>
          <w:szCs w:val="32"/>
        </w:rPr>
      </w:pPr>
      <w:r>
        <w:rPr>
          <w:rFonts w:hint="eastAsia" w:hAnsi="仿宋_GB2312" w:cs="仿宋_GB2312"/>
          <w:szCs w:val="32"/>
        </w:rPr>
        <w:t>《第三方机构预算绩效评价业务监督管理暂行办法》（财监〔2021〕4号）。</w:t>
      </w:r>
    </w:p>
    <w:p w14:paraId="411276A9">
      <w:pPr>
        <w:numPr>
          <w:ilvl w:val="0"/>
          <w:numId w:val="9"/>
        </w:numPr>
        <w:adjustRightInd w:val="0"/>
        <w:snapToGrid w:val="0"/>
        <w:spacing w:line="580" w:lineRule="exact"/>
        <w:ind w:firstLine="632" w:firstLineChars="200"/>
        <w:rPr>
          <w:rFonts w:hAnsi="仿宋_GB2312" w:cs="仿宋_GB2312"/>
          <w:szCs w:val="32"/>
        </w:rPr>
      </w:pPr>
      <w:r>
        <w:rPr>
          <w:rFonts w:hint="eastAsia" w:hAnsi="仿宋_GB2312" w:cs="仿宋_GB2312"/>
          <w:szCs w:val="32"/>
        </w:rPr>
        <w:t>地方或部门相关政策、规章及文件</w:t>
      </w:r>
    </w:p>
    <w:p w14:paraId="7C5F0396">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《湖北省计划生育实施条例》；</w:t>
      </w:r>
    </w:p>
    <w:p w14:paraId="64199BA8">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湖北省财政厅《关于下达2022年省级基本公共卫生补助资金的通知》（鄂财社发〔2022〕29号）；</w:t>
      </w:r>
    </w:p>
    <w:p w14:paraId="45757A23">
      <w:pPr>
        <w:adjustRightInd w:val="0"/>
        <w:snapToGrid w:val="0"/>
        <w:spacing w:line="580" w:lineRule="exact"/>
        <w:ind w:firstLine="632" w:firstLineChars="200"/>
        <w:rPr>
          <w:rFonts w:hAnsi="仿宋_GB2312" w:cs="仿宋_GB2312"/>
          <w:szCs w:val="32"/>
        </w:rPr>
      </w:pPr>
      <w:r>
        <w:rPr>
          <w:rFonts w:hint="eastAsia" w:hAnsi="仿宋_GB2312" w:cs="仿宋_GB2312"/>
          <w:szCs w:val="32"/>
        </w:rPr>
        <w:t>黄石市西塞山区卫生健康局《基本公共卫生服务体系改革实施方案》；</w:t>
      </w:r>
    </w:p>
    <w:p w14:paraId="46DB5F17">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湖北省卫生和计划生育委员会《关于落实独生子女死亡的计划生育特殊家庭一次性抚慰金政策的通知》（鄂卫生计生通〔2016〕3号）；</w:t>
      </w:r>
    </w:p>
    <w:p w14:paraId="68DBCF0B">
      <w:pPr>
        <w:adjustRightInd w:val="0"/>
        <w:snapToGrid w:val="0"/>
        <w:spacing w:line="580" w:lineRule="exact"/>
        <w:ind w:firstLine="632" w:firstLineChars="200"/>
        <w:rPr>
          <w:rFonts w:hAnsi="仿宋_GB2312" w:cs="仿宋_GB2312"/>
          <w:szCs w:val="32"/>
        </w:rPr>
      </w:pPr>
      <w:r>
        <w:rPr>
          <w:rFonts w:hint="eastAsia" w:ascii="Times New Roman"/>
          <w:szCs w:val="32"/>
        </w:rPr>
        <w:t>西塞山区卫生健康局、西塞山</w:t>
      </w:r>
      <w:r>
        <w:rPr>
          <w:rFonts w:hint="eastAsia" w:ascii="Times New Roman"/>
          <w:szCs w:val="32"/>
          <w:lang w:eastAsia="zh-CN"/>
        </w:rPr>
        <w:t>区人力资源和社会保障局</w:t>
      </w:r>
      <w:r>
        <w:rPr>
          <w:rFonts w:ascii="Times New Roman"/>
          <w:szCs w:val="32"/>
        </w:rPr>
        <w:t>《</w:t>
      </w:r>
      <w:r>
        <w:rPr>
          <w:rFonts w:hint="eastAsia" w:ascii="Times New Roman"/>
          <w:szCs w:val="32"/>
        </w:rPr>
        <w:t>关于印发&lt;西塞山区乡村医生养老保障实施方案&gt;的通知</w:t>
      </w:r>
      <w:r>
        <w:rPr>
          <w:rFonts w:ascii="Times New Roman"/>
          <w:szCs w:val="32"/>
        </w:rPr>
        <w:t>》（</w:t>
      </w:r>
      <w:r>
        <w:rPr>
          <w:rFonts w:hint="eastAsia" w:ascii="Times New Roman"/>
          <w:szCs w:val="32"/>
        </w:rPr>
        <w:t>西卫发</w:t>
      </w:r>
      <w:r>
        <w:rPr>
          <w:rFonts w:ascii="Times New Roman"/>
          <w:szCs w:val="32"/>
        </w:rPr>
        <w:t>〔20</w:t>
      </w:r>
      <w:r>
        <w:rPr>
          <w:rFonts w:hint="eastAsia" w:ascii="Times New Roman"/>
          <w:szCs w:val="32"/>
        </w:rPr>
        <w:t>20</w:t>
      </w:r>
      <w:r>
        <w:rPr>
          <w:rFonts w:ascii="Times New Roman"/>
          <w:szCs w:val="32"/>
        </w:rPr>
        <w:t>〕</w:t>
      </w:r>
      <w:r>
        <w:rPr>
          <w:rFonts w:hint="eastAsia" w:ascii="Times New Roman"/>
          <w:szCs w:val="32"/>
        </w:rPr>
        <w:t>21</w:t>
      </w:r>
      <w:r>
        <w:rPr>
          <w:rFonts w:ascii="Times New Roman"/>
          <w:szCs w:val="32"/>
        </w:rPr>
        <w:t>号）</w:t>
      </w:r>
      <w:r>
        <w:rPr>
          <w:rFonts w:hint="eastAsia" w:ascii="Times New Roman"/>
          <w:szCs w:val="32"/>
        </w:rPr>
        <w:t>；</w:t>
      </w:r>
    </w:p>
    <w:p w14:paraId="53A2C318">
      <w:pPr>
        <w:adjustRightInd w:val="0"/>
        <w:snapToGrid w:val="0"/>
        <w:spacing w:line="580" w:lineRule="exact"/>
        <w:ind w:firstLine="632" w:firstLineChars="200"/>
        <w:rPr>
          <w:rFonts w:hAnsi="仿宋_GB2312" w:cs="仿宋_GB2312"/>
          <w:szCs w:val="32"/>
        </w:rPr>
      </w:pPr>
      <w:r>
        <w:rPr>
          <w:rFonts w:hint="eastAsia" w:ascii="Times New Roman"/>
          <w:szCs w:val="32"/>
        </w:rPr>
        <w:t>西塞山区卫生健康局、西塞山</w:t>
      </w:r>
      <w:r>
        <w:rPr>
          <w:rFonts w:hint="eastAsia" w:ascii="Times New Roman"/>
          <w:szCs w:val="32"/>
          <w:lang w:eastAsia="zh-CN"/>
        </w:rPr>
        <w:t>区人力资源和社会保障局</w:t>
      </w:r>
      <w:r>
        <w:rPr>
          <w:rFonts w:ascii="Times New Roman"/>
          <w:szCs w:val="32"/>
        </w:rPr>
        <w:t>《</w:t>
      </w:r>
      <w:r>
        <w:rPr>
          <w:rFonts w:hint="eastAsia" w:ascii="Times New Roman"/>
          <w:szCs w:val="32"/>
        </w:rPr>
        <w:t>关于印发&lt;西塞山区到龄离岗乡村医生生活补助发放实施方案&gt;的通知</w:t>
      </w:r>
      <w:r>
        <w:rPr>
          <w:rFonts w:ascii="Times New Roman"/>
          <w:szCs w:val="32"/>
        </w:rPr>
        <w:t>》（</w:t>
      </w:r>
      <w:r>
        <w:rPr>
          <w:rFonts w:hint="eastAsia" w:ascii="Times New Roman"/>
          <w:szCs w:val="32"/>
        </w:rPr>
        <w:t>西卫发</w:t>
      </w:r>
      <w:r>
        <w:rPr>
          <w:rFonts w:ascii="Times New Roman"/>
          <w:szCs w:val="32"/>
        </w:rPr>
        <w:t>〔20</w:t>
      </w:r>
      <w:r>
        <w:rPr>
          <w:rFonts w:hint="eastAsia" w:ascii="Times New Roman"/>
          <w:szCs w:val="32"/>
        </w:rPr>
        <w:t>20</w:t>
      </w:r>
      <w:r>
        <w:rPr>
          <w:rFonts w:ascii="Times New Roman"/>
          <w:szCs w:val="32"/>
        </w:rPr>
        <w:t>〕</w:t>
      </w:r>
      <w:r>
        <w:rPr>
          <w:rFonts w:hint="eastAsia" w:ascii="Times New Roman"/>
          <w:szCs w:val="32"/>
        </w:rPr>
        <w:t>22</w:t>
      </w:r>
      <w:r>
        <w:rPr>
          <w:rFonts w:ascii="Times New Roman"/>
          <w:szCs w:val="32"/>
        </w:rPr>
        <w:t>号）</w:t>
      </w:r>
      <w:r>
        <w:rPr>
          <w:rFonts w:hint="eastAsia" w:ascii="Times New Roman"/>
          <w:szCs w:val="32"/>
        </w:rPr>
        <w:t>；</w:t>
      </w:r>
    </w:p>
    <w:p w14:paraId="2623515A">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湖北省人民政府办公厅《关于印发湖北省政府集中采购目录及标准（2021年版）的通知》（鄂政办发〔2020〕56号）；</w:t>
      </w:r>
    </w:p>
    <w:p w14:paraId="33F4B72C">
      <w:pPr>
        <w:adjustRightInd w:val="0"/>
        <w:snapToGrid w:val="0"/>
        <w:spacing w:line="580" w:lineRule="exact"/>
        <w:ind w:firstLine="632" w:firstLineChars="200"/>
        <w:rPr>
          <w:rFonts w:hAnsi="仿宋_GB2312" w:cs="仿宋_GB2312"/>
          <w:szCs w:val="32"/>
        </w:rPr>
      </w:pPr>
      <w:r>
        <w:rPr>
          <w:rFonts w:hint="eastAsia" w:hAnsi="仿宋_GB2312" w:cs="仿宋_GB2312"/>
          <w:szCs w:val="32"/>
        </w:rPr>
        <w:t>国家卫生健康委办公厅《关于开展2022年“世界家庭医生日”主题活动的通知》（国卫办基层函〔2022〕154号）；</w:t>
      </w:r>
    </w:p>
    <w:p w14:paraId="4E23E5C8">
      <w:pPr>
        <w:adjustRightInd w:val="0"/>
        <w:snapToGrid w:val="0"/>
        <w:spacing w:line="580" w:lineRule="exact"/>
        <w:ind w:firstLine="632" w:firstLineChars="200"/>
        <w:rPr>
          <w:rFonts w:hAnsi="仿宋_GB2312" w:cs="仿宋_GB2312"/>
          <w:szCs w:val="32"/>
        </w:rPr>
      </w:pPr>
      <w:r>
        <w:rPr>
          <w:rFonts w:hint="eastAsia" w:hAnsi="仿宋_GB2312" w:cs="仿宋_GB2312"/>
          <w:szCs w:val="32"/>
        </w:rPr>
        <w:t>湖北省卫生健康委员会《关于开展2022年“全国爱牙日”宣传活动的通知》；</w:t>
      </w:r>
    </w:p>
    <w:p w14:paraId="5232F87B">
      <w:pPr>
        <w:adjustRightInd w:val="0"/>
        <w:snapToGrid w:val="0"/>
        <w:spacing w:line="580" w:lineRule="exact"/>
        <w:ind w:firstLine="632" w:firstLineChars="200"/>
        <w:rPr>
          <w:rFonts w:hAnsi="仿宋_GB2312" w:cs="仿宋_GB2312"/>
          <w:szCs w:val="32"/>
        </w:rPr>
      </w:pPr>
      <w:r>
        <w:rPr>
          <w:rFonts w:hint="eastAsia" w:hAnsi="仿宋_GB2312" w:cs="仿宋_GB2312"/>
          <w:szCs w:val="32"/>
        </w:rPr>
        <w:t>反映部门管理的佐证材料，包括但不限于部门整体目标、“三定”方案、部门年度工作计划及总结、管理制度文件、财务资料、预算审查及批复资料、预算执行过程资料、决算报告等；</w:t>
      </w:r>
    </w:p>
    <w:p w14:paraId="087363D3">
      <w:pPr>
        <w:adjustRightInd w:val="0"/>
        <w:snapToGrid w:val="0"/>
        <w:spacing w:line="580" w:lineRule="exact"/>
        <w:ind w:firstLine="632" w:firstLineChars="200"/>
        <w:rPr>
          <w:rFonts w:hAnsi="仿宋_GB2312" w:cs="仿宋_GB2312"/>
          <w:szCs w:val="32"/>
        </w:rPr>
      </w:pPr>
      <w:r>
        <w:rPr>
          <w:rFonts w:hint="eastAsia" w:hAnsi="仿宋_GB2312" w:cs="仿宋_GB2312"/>
          <w:szCs w:val="32"/>
        </w:rPr>
        <w:t>反映部门履职结果的佐证材料。</w:t>
      </w:r>
    </w:p>
    <w:p w14:paraId="4DC940A9">
      <w:pPr>
        <w:adjustRightInd w:val="0"/>
        <w:snapToGrid w:val="0"/>
        <w:spacing w:line="580" w:lineRule="exact"/>
        <w:ind w:left="632" w:leftChars="200"/>
        <w:rPr>
          <w:rFonts w:ascii="Times New Roman"/>
          <w:b/>
          <w:bCs/>
          <w:szCs w:val="36"/>
        </w:rPr>
      </w:pPr>
      <w:r>
        <w:rPr>
          <w:rFonts w:hint="eastAsia" w:ascii="Times New Roman"/>
          <w:b/>
          <w:bCs/>
          <w:szCs w:val="36"/>
        </w:rPr>
        <w:t>6、</w:t>
      </w:r>
      <w:r>
        <w:rPr>
          <w:rFonts w:ascii="Times New Roman"/>
          <w:b/>
          <w:bCs/>
          <w:szCs w:val="36"/>
        </w:rPr>
        <w:t>评价</w:t>
      </w:r>
      <w:r>
        <w:rPr>
          <w:rFonts w:hint="eastAsia" w:ascii="Times New Roman"/>
          <w:b/>
          <w:bCs/>
          <w:szCs w:val="36"/>
        </w:rPr>
        <w:t>实施程序</w:t>
      </w:r>
      <w:bookmarkEnd w:id="9"/>
    </w:p>
    <w:p w14:paraId="3CC27746">
      <w:pPr>
        <w:adjustRightInd w:val="0"/>
        <w:snapToGrid w:val="0"/>
        <w:spacing w:line="580" w:lineRule="exact"/>
        <w:ind w:left="632" w:leftChars="200"/>
        <w:rPr>
          <w:rFonts w:ascii="Times New Roman"/>
          <w:szCs w:val="32"/>
        </w:rPr>
      </w:pPr>
      <w:r>
        <w:rPr>
          <w:rFonts w:hint="eastAsia" w:ascii="Times New Roman"/>
          <w:szCs w:val="32"/>
        </w:rPr>
        <w:t>（1）评价准备阶段</w:t>
      </w:r>
    </w:p>
    <w:p w14:paraId="0B669725">
      <w:pPr>
        <w:adjustRightInd w:val="0"/>
        <w:snapToGrid w:val="0"/>
        <w:spacing w:line="580" w:lineRule="exact"/>
        <w:ind w:firstLine="641" w:firstLineChars="203"/>
        <w:rPr>
          <w:rFonts w:ascii="Times New Roman"/>
          <w:szCs w:val="32"/>
        </w:rPr>
      </w:pPr>
      <w:r>
        <w:rPr>
          <w:rFonts w:hint="eastAsia" w:ascii="Times New Roman"/>
          <w:szCs w:val="32"/>
        </w:rPr>
        <w:t>结合部门前期提报资料，制定工作方案，明确评价思路、指标体系、评价方法等内容。</w:t>
      </w:r>
    </w:p>
    <w:p w14:paraId="79C10A54">
      <w:pPr>
        <w:adjustRightInd w:val="0"/>
        <w:snapToGrid w:val="0"/>
        <w:spacing w:line="580" w:lineRule="exact"/>
        <w:ind w:firstLine="641" w:firstLineChars="203"/>
        <w:rPr>
          <w:rFonts w:ascii="Times New Roman"/>
          <w:szCs w:val="32"/>
        </w:rPr>
      </w:pPr>
      <w:r>
        <w:rPr>
          <w:rFonts w:hint="eastAsia" w:ascii="Times New Roman"/>
          <w:szCs w:val="32"/>
        </w:rPr>
        <w:t>（2）评价实施阶段</w:t>
      </w:r>
    </w:p>
    <w:p w14:paraId="7DB638F0">
      <w:pPr>
        <w:adjustRightInd w:val="0"/>
        <w:snapToGrid w:val="0"/>
        <w:spacing w:line="580" w:lineRule="exact"/>
        <w:ind w:firstLine="641" w:firstLineChars="203"/>
        <w:rPr>
          <w:rFonts w:ascii="Times New Roman"/>
          <w:szCs w:val="32"/>
        </w:rPr>
      </w:pPr>
      <w:r>
        <w:rPr>
          <w:rFonts w:hint="eastAsia" w:ascii="Times New Roman"/>
          <w:szCs w:val="32"/>
        </w:rPr>
        <w:t>对被评价部门的基本情况、财政资金使用情况、项目组织实施情况、绩效目标、绩效监控和绩效自评等评价资料，采用现场调研、询问和调查问卷等形式进行现场查验核实取证，按照绩效评价指标体系进行综合评定打分。</w:t>
      </w:r>
    </w:p>
    <w:p w14:paraId="52B35C47">
      <w:pPr>
        <w:adjustRightInd w:val="0"/>
        <w:snapToGrid w:val="0"/>
        <w:spacing w:line="580" w:lineRule="exact"/>
        <w:ind w:firstLine="632" w:firstLineChars="200"/>
        <w:rPr>
          <w:rFonts w:ascii="Times New Roman"/>
          <w:szCs w:val="32"/>
        </w:rPr>
      </w:pPr>
      <w:r>
        <w:rPr>
          <w:rFonts w:hint="eastAsia" w:ascii="Times New Roman"/>
          <w:szCs w:val="32"/>
        </w:rPr>
        <w:t>（3）出具报告阶段</w:t>
      </w:r>
    </w:p>
    <w:p w14:paraId="45E7EAD5">
      <w:pPr>
        <w:adjustRightInd w:val="0"/>
        <w:snapToGrid w:val="0"/>
        <w:spacing w:line="580" w:lineRule="exact"/>
        <w:ind w:firstLine="632" w:firstLineChars="200"/>
        <w:rPr>
          <w:rFonts w:ascii="Times New Roman"/>
          <w:szCs w:val="32"/>
        </w:rPr>
      </w:pPr>
      <w:r>
        <w:rPr>
          <w:rFonts w:hint="eastAsia" w:ascii="Times New Roman"/>
          <w:szCs w:val="32"/>
        </w:rPr>
        <w:t>撰写绩效评价报告，征求财政部门和被评价部门的意见，按期出具绩效评价报告终稿。</w:t>
      </w:r>
    </w:p>
    <w:p w14:paraId="6D28BB74">
      <w:pPr>
        <w:ind w:firstLine="632" w:firstLineChars="200"/>
        <w:rPr>
          <w:rFonts w:ascii="Times New Roman"/>
          <w:b/>
          <w:bCs/>
        </w:rPr>
      </w:pPr>
      <w:r>
        <w:rPr>
          <w:rFonts w:hint="eastAsia" w:ascii="Times New Roman"/>
        </w:rPr>
        <w:t>（4）档案整理</w:t>
      </w:r>
    </w:p>
    <w:p w14:paraId="4EAC3552">
      <w:pPr>
        <w:ind w:firstLine="632" w:firstLineChars="200"/>
        <w:rPr>
          <w:rFonts w:ascii="Times New Roman"/>
          <w:szCs w:val="32"/>
        </w:rPr>
      </w:pPr>
      <w:r>
        <w:rPr>
          <w:rFonts w:hint="eastAsia" w:ascii="Times New Roman"/>
          <w:szCs w:val="32"/>
        </w:rPr>
        <w:t>整理项目绩效评价各阶段的评价底稿、收集的资料照片等，进行归档。</w:t>
      </w:r>
    </w:p>
    <w:p w14:paraId="3F865F15">
      <w:pPr>
        <w:pStyle w:val="4"/>
        <w:spacing w:line="560" w:lineRule="exact"/>
        <w:ind w:firstLine="633"/>
        <w:rPr>
          <w:rFonts w:ascii="Times New Roman" w:hAnsi="Times New Roman" w:eastAsia="楷体"/>
          <w:sz w:val="32"/>
        </w:rPr>
      </w:pPr>
      <w:r>
        <w:rPr>
          <w:rFonts w:hint="eastAsia" w:ascii="Times New Roman" w:hAnsi="Times New Roman" w:eastAsia="楷体"/>
          <w:sz w:val="32"/>
        </w:rPr>
        <w:t>（</w:t>
      </w:r>
      <w:r>
        <w:rPr>
          <w:rFonts w:ascii="Times New Roman" w:hAnsi="Times New Roman" w:eastAsia="楷体"/>
          <w:sz w:val="32"/>
        </w:rPr>
        <w:t>三</w:t>
      </w:r>
      <w:r>
        <w:rPr>
          <w:rFonts w:hint="eastAsia" w:ascii="Times New Roman" w:hAnsi="Times New Roman" w:eastAsia="楷体"/>
          <w:sz w:val="32"/>
        </w:rPr>
        <w:t>）</w:t>
      </w:r>
      <w:r>
        <w:rPr>
          <w:rFonts w:ascii="Times New Roman" w:hAnsi="Times New Roman" w:eastAsia="楷体"/>
          <w:sz w:val="32"/>
        </w:rPr>
        <w:t>绩效指标完成情况分析</w:t>
      </w:r>
    </w:p>
    <w:p w14:paraId="20FA8FBC">
      <w:pPr>
        <w:pStyle w:val="4"/>
        <w:spacing w:line="240" w:lineRule="auto"/>
        <w:ind w:firstLine="633"/>
        <w:rPr>
          <w:rFonts w:ascii="Times New Roman" w:hAnsi="Times New Roman"/>
          <w:sz w:val="32"/>
          <w:szCs w:val="36"/>
        </w:rPr>
      </w:pPr>
      <w:r>
        <w:rPr>
          <w:rFonts w:ascii="Times New Roman" w:hAnsi="Times New Roman"/>
          <w:sz w:val="32"/>
          <w:szCs w:val="36"/>
        </w:rPr>
        <w:t>1、</w:t>
      </w:r>
      <w:r>
        <w:rPr>
          <w:rFonts w:hint="eastAsia" w:ascii="Times New Roman" w:hAnsi="Times New Roman"/>
          <w:sz w:val="32"/>
          <w:szCs w:val="36"/>
        </w:rPr>
        <w:t>运行成本指标完成情况详细分析</w:t>
      </w:r>
    </w:p>
    <w:p w14:paraId="4768D060">
      <w:pPr>
        <w:ind w:firstLine="632" w:firstLineChars="200"/>
        <w:rPr>
          <w:rFonts w:ascii="Times New Roman" w:eastAsia="楷体"/>
          <w:szCs w:val="36"/>
        </w:rPr>
      </w:pPr>
      <w:r>
        <w:rPr>
          <w:rFonts w:hint="eastAsia" w:ascii="Times New Roman"/>
          <w:szCs w:val="36"/>
        </w:rPr>
        <w:t>运行成本</w:t>
      </w:r>
      <w:r>
        <w:rPr>
          <w:rFonts w:ascii="Times New Roman"/>
          <w:szCs w:val="32"/>
        </w:rPr>
        <w:t>指标总分值</w:t>
      </w:r>
      <w:r>
        <w:rPr>
          <w:rFonts w:hint="eastAsia" w:ascii="Times New Roman"/>
          <w:szCs w:val="32"/>
        </w:rPr>
        <w:t>8</w:t>
      </w:r>
      <w:r>
        <w:rPr>
          <w:rFonts w:ascii="Times New Roman"/>
          <w:szCs w:val="32"/>
        </w:rPr>
        <w:t>分，实际得分</w:t>
      </w:r>
      <w:r>
        <w:rPr>
          <w:rFonts w:hint="eastAsia" w:ascii="Times New Roman"/>
          <w:szCs w:val="32"/>
        </w:rPr>
        <w:t>7</w:t>
      </w:r>
      <w:r>
        <w:rPr>
          <w:rFonts w:ascii="Times New Roman"/>
          <w:szCs w:val="32"/>
        </w:rPr>
        <w:t>分。各项指标具体完成情况如下：</w:t>
      </w:r>
    </w:p>
    <w:p w14:paraId="1B0ECBBE">
      <w:pPr>
        <w:ind w:firstLine="632" w:firstLineChars="200"/>
        <w:rPr>
          <w:rFonts w:ascii="Times New Roman"/>
        </w:rPr>
      </w:pPr>
      <w:r>
        <w:rPr>
          <w:rFonts w:ascii="Times New Roman"/>
        </w:rPr>
        <w:t>（1）</w:t>
      </w:r>
      <w:r>
        <w:rPr>
          <w:rFonts w:hint="eastAsia" w:ascii="Times New Roman"/>
        </w:rPr>
        <w:t>公用经费控制</w:t>
      </w:r>
    </w:p>
    <w:p w14:paraId="21AAFBD6">
      <w:pPr>
        <w:ind w:firstLine="632" w:firstLineChars="200"/>
        <w:rPr>
          <w:rFonts w:ascii="Times New Roman"/>
        </w:rPr>
      </w:pPr>
      <w:r>
        <w:rPr>
          <w:rFonts w:hint="eastAsia" w:ascii="Times New Roman"/>
        </w:rPr>
        <w:t>公用经费决算数与调整后的预算数一致。</w:t>
      </w:r>
    </w:p>
    <w:p w14:paraId="378C02FB">
      <w:pPr>
        <w:ind w:firstLine="632" w:firstLineChars="200"/>
        <w:rPr>
          <w:rFonts w:ascii="Times New Roman"/>
          <w:szCs w:val="32"/>
        </w:rPr>
      </w:pPr>
      <w:r>
        <w:rPr>
          <w:rFonts w:ascii="Times New Roman"/>
          <w:szCs w:val="32"/>
        </w:rPr>
        <w:t>本项标准分值2分，综合得分2分。</w:t>
      </w:r>
    </w:p>
    <w:p w14:paraId="115B208B">
      <w:pPr>
        <w:ind w:firstLine="632" w:firstLineChars="200"/>
        <w:rPr>
          <w:rFonts w:ascii="Times New Roman"/>
          <w:szCs w:val="32"/>
        </w:rPr>
      </w:pPr>
      <w:r>
        <w:rPr>
          <w:rFonts w:ascii="Times New Roman"/>
          <w:szCs w:val="32"/>
        </w:rPr>
        <w:t>（2）</w:t>
      </w:r>
      <w:r>
        <w:rPr>
          <w:rFonts w:hint="eastAsia" w:ascii="Times New Roman"/>
          <w:szCs w:val="32"/>
        </w:rPr>
        <w:t>在职人员控制</w:t>
      </w:r>
    </w:p>
    <w:p w14:paraId="6FFC214D">
      <w:pPr>
        <w:ind w:firstLine="632" w:firstLineChars="200"/>
        <w:rPr>
          <w:rFonts w:ascii="Times New Roman"/>
          <w:szCs w:val="32"/>
        </w:rPr>
      </w:pPr>
      <w:r>
        <w:rPr>
          <w:rFonts w:hint="eastAsia" w:ascii="Times New Roman"/>
          <w:szCs w:val="32"/>
        </w:rPr>
        <w:t>在职人员人数符合三定方案的要求。</w:t>
      </w:r>
    </w:p>
    <w:p w14:paraId="369678A4">
      <w:pPr>
        <w:ind w:firstLine="632" w:firstLineChars="200"/>
        <w:rPr>
          <w:rFonts w:ascii="Times New Roman"/>
          <w:szCs w:val="32"/>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p>
    <w:p w14:paraId="459EF42F">
      <w:pPr>
        <w:numPr>
          <w:ilvl w:val="0"/>
          <w:numId w:val="9"/>
        </w:numPr>
        <w:ind w:firstLine="632" w:firstLineChars="200"/>
        <w:rPr>
          <w:rFonts w:ascii="Times New Roman"/>
          <w:szCs w:val="32"/>
        </w:rPr>
      </w:pPr>
      <w:r>
        <w:rPr>
          <w:rFonts w:hint="eastAsia" w:ascii="Times New Roman"/>
          <w:szCs w:val="32"/>
        </w:rPr>
        <w:t>项目支出成本控制</w:t>
      </w:r>
    </w:p>
    <w:p w14:paraId="7E0A8949">
      <w:pPr>
        <w:ind w:firstLine="825" w:firstLineChars="261"/>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会议费控制率</w:t>
      </w:r>
    </w:p>
    <w:p w14:paraId="7541AA08">
      <w:pPr>
        <w:ind w:firstLine="632" w:firstLineChars="200"/>
        <w:rPr>
          <w:rFonts w:ascii="Times New Roman"/>
          <w:szCs w:val="32"/>
        </w:rPr>
      </w:pPr>
      <w:r>
        <w:rPr>
          <w:rFonts w:hint="eastAsia" w:ascii="Times New Roman"/>
          <w:szCs w:val="32"/>
        </w:rPr>
        <w:t>本年度无会议费支出。</w:t>
      </w:r>
    </w:p>
    <w:p w14:paraId="7324E020">
      <w:pPr>
        <w:ind w:firstLine="632" w:firstLineChars="200"/>
        <w:rPr>
          <w:rFonts w:ascii="Times New Roman"/>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68B72921">
      <w:pPr>
        <w:ind w:firstLine="632" w:firstLineChars="20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ascii="Times New Roman"/>
          <w:szCs w:val="32"/>
          <w:lang w:eastAsia="zh-CN"/>
        </w:rPr>
        <w:t>“三公”经费</w:t>
      </w:r>
      <w:r>
        <w:rPr>
          <w:rFonts w:hint="eastAsia" w:ascii="Times New Roman"/>
          <w:szCs w:val="32"/>
        </w:rPr>
        <w:t>变动率</w:t>
      </w:r>
    </w:p>
    <w:p w14:paraId="55B1BA6B">
      <w:pPr>
        <w:ind w:firstLine="632" w:firstLineChars="200"/>
        <w:rPr>
          <w:rFonts w:ascii="Times New Roman"/>
          <w:szCs w:val="32"/>
        </w:rPr>
      </w:pPr>
      <w:r>
        <w:rPr>
          <w:rFonts w:hint="eastAsia" w:ascii="Times New Roman"/>
          <w:szCs w:val="32"/>
        </w:rPr>
        <w:t>本年度三公经费比2021年超出248.07%。</w:t>
      </w:r>
    </w:p>
    <w:p w14:paraId="1E497623">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0</w:t>
      </w:r>
      <w:r>
        <w:rPr>
          <w:rFonts w:ascii="Times New Roman"/>
          <w:szCs w:val="32"/>
        </w:rPr>
        <w:t>分。</w:t>
      </w:r>
    </w:p>
    <w:p w14:paraId="0345D956">
      <w:pPr>
        <w:ind w:firstLine="632" w:firstLineChars="200"/>
        <w:rPr>
          <w:rFonts w:ascii="Times New Roman"/>
          <w:szCs w:val="32"/>
        </w:rPr>
      </w:pPr>
      <w:r>
        <w:rPr>
          <w:rFonts w:hint="eastAsia" w:ascii="宋体" w:hAnsi="宋体" w:eastAsia="宋体" w:cs="宋体"/>
        </w:rPr>
        <w:t>③</w:t>
      </w:r>
      <w:r>
        <w:rPr>
          <w:rFonts w:hint="eastAsia" w:ascii="Times New Roman"/>
          <w:szCs w:val="32"/>
        </w:rPr>
        <w:t>新增资产支出控制率</w:t>
      </w:r>
    </w:p>
    <w:p w14:paraId="29AF69B2">
      <w:pPr>
        <w:ind w:firstLine="632" w:firstLineChars="200"/>
        <w:rPr>
          <w:rFonts w:ascii="Times New Roman"/>
          <w:szCs w:val="32"/>
        </w:rPr>
      </w:pPr>
      <w:r>
        <w:rPr>
          <w:rFonts w:hint="eastAsia" w:ascii="Times New Roman"/>
          <w:bCs/>
          <w:szCs w:val="32"/>
        </w:rPr>
        <w:t>本年度无新增固定资产。</w:t>
      </w:r>
    </w:p>
    <w:p w14:paraId="4976A702">
      <w:pPr>
        <w:ind w:firstLine="632" w:firstLineChars="200"/>
        <w:rPr>
          <w:rFonts w:ascii="Times New Roman"/>
          <w:szCs w:val="32"/>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p>
    <w:p w14:paraId="67F1E44C">
      <w:pPr>
        <w:pStyle w:val="4"/>
        <w:spacing w:line="240" w:lineRule="auto"/>
        <w:ind w:firstLine="633"/>
        <w:rPr>
          <w:rFonts w:ascii="Times New Roman" w:hAnsi="Times New Roman"/>
          <w:sz w:val="32"/>
          <w:szCs w:val="36"/>
        </w:rPr>
      </w:pPr>
      <w:r>
        <w:rPr>
          <w:rFonts w:ascii="Times New Roman" w:hAnsi="Times New Roman"/>
          <w:sz w:val="32"/>
          <w:szCs w:val="36"/>
        </w:rPr>
        <w:t>2、</w:t>
      </w:r>
      <w:r>
        <w:rPr>
          <w:rFonts w:hint="eastAsia" w:ascii="Times New Roman" w:hAnsi="Times New Roman"/>
          <w:sz w:val="32"/>
          <w:szCs w:val="36"/>
        </w:rPr>
        <w:t>管理效率指标完成情况详细分析</w:t>
      </w:r>
    </w:p>
    <w:p w14:paraId="45D01904">
      <w:pPr>
        <w:ind w:firstLine="632" w:firstLineChars="200"/>
        <w:rPr>
          <w:rFonts w:ascii="Times New Roman"/>
          <w:szCs w:val="32"/>
        </w:rPr>
      </w:pPr>
      <w:r>
        <w:rPr>
          <w:rFonts w:hint="eastAsia" w:ascii="Times New Roman"/>
          <w:szCs w:val="36"/>
        </w:rPr>
        <w:t>管理效率</w:t>
      </w:r>
      <w:r>
        <w:rPr>
          <w:rFonts w:ascii="Times New Roman"/>
          <w:szCs w:val="32"/>
        </w:rPr>
        <w:t>指标总分值2</w:t>
      </w:r>
      <w:r>
        <w:rPr>
          <w:rFonts w:hint="eastAsia" w:ascii="Times New Roman"/>
          <w:szCs w:val="32"/>
        </w:rPr>
        <w:t>2</w:t>
      </w:r>
      <w:r>
        <w:rPr>
          <w:rFonts w:ascii="Times New Roman"/>
          <w:szCs w:val="32"/>
        </w:rPr>
        <w:t>分，实际得分</w:t>
      </w:r>
      <w:r>
        <w:rPr>
          <w:rFonts w:hint="eastAsia" w:ascii="Times New Roman"/>
          <w:szCs w:val="32"/>
        </w:rPr>
        <w:t>19.7</w:t>
      </w:r>
      <w:r>
        <w:rPr>
          <w:rFonts w:ascii="Times New Roman"/>
          <w:szCs w:val="32"/>
        </w:rPr>
        <w:t>分。</w:t>
      </w:r>
      <w:bookmarkStart w:id="11" w:name="_Hlk53649166"/>
      <w:r>
        <w:rPr>
          <w:rFonts w:ascii="Times New Roman"/>
          <w:szCs w:val="32"/>
        </w:rPr>
        <w:t>各项指标具体完成情况如下：</w:t>
      </w:r>
      <w:bookmarkEnd w:id="11"/>
    </w:p>
    <w:p w14:paraId="5B5C8D63">
      <w:pPr>
        <w:ind w:firstLine="632" w:firstLineChars="200"/>
        <w:rPr>
          <w:rFonts w:ascii="Times New Roman"/>
          <w:szCs w:val="32"/>
        </w:rPr>
      </w:pPr>
      <w:r>
        <w:rPr>
          <w:rFonts w:ascii="Times New Roman"/>
          <w:szCs w:val="32"/>
        </w:rPr>
        <w:t>（1）</w:t>
      </w:r>
      <w:r>
        <w:rPr>
          <w:rFonts w:hint="eastAsia" w:ascii="Times New Roman"/>
          <w:szCs w:val="32"/>
        </w:rPr>
        <w:t>战略</w:t>
      </w:r>
      <w:r>
        <w:rPr>
          <w:rFonts w:ascii="Times New Roman"/>
          <w:szCs w:val="32"/>
        </w:rPr>
        <w:t>管理</w:t>
      </w:r>
    </w:p>
    <w:p w14:paraId="08A8EE21">
      <w:pPr>
        <w:ind w:firstLine="632" w:firstLineChars="20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中长期规划相符性</w:t>
      </w:r>
    </w:p>
    <w:p w14:paraId="53C40F53">
      <w:pPr>
        <w:ind w:firstLine="632" w:firstLineChars="200"/>
        <w:rPr>
          <w:rFonts w:ascii="Times New Roman"/>
          <w:szCs w:val="32"/>
        </w:rPr>
      </w:pPr>
      <w:r>
        <w:rPr>
          <w:rFonts w:hint="eastAsia" w:ascii="Times New Roman"/>
          <w:szCs w:val="32"/>
        </w:rPr>
        <w:t>本年部门的规划与相关政府战略相匹配、与部门职能相符</w:t>
      </w:r>
      <w:r>
        <w:rPr>
          <w:rFonts w:ascii="Times New Roman"/>
          <w:szCs w:val="32"/>
        </w:rPr>
        <w:t>。</w:t>
      </w:r>
    </w:p>
    <w:p w14:paraId="238CCADB">
      <w:pPr>
        <w:ind w:firstLine="632" w:firstLineChars="200"/>
        <w:rPr>
          <w:rFonts w:ascii="Times New Roman"/>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6B4EF605">
      <w:pPr>
        <w:ind w:firstLine="632" w:firstLineChars="20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ascii="Times New Roman"/>
          <w:szCs w:val="32"/>
        </w:rPr>
        <w:t>工作计划健全性</w:t>
      </w:r>
    </w:p>
    <w:p w14:paraId="4F40FC13">
      <w:pPr>
        <w:ind w:firstLine="632" w:firstLineChars="200"/>
        <w:rPr>
          <w:rFonts w:ascii="Times New Roman"/>
          <w:szCs w:val="32"/>
        </w:rPr>
      </w:pPr>
      <w:r>
        <w:rPr>
          <w:rFonts w:hint="eastAsia" w:ascii="Times New Roman"/>
          <w:szCs w:val="32"/>
        </w:rPr>
        <w:t>本年度部门有制定明确、具体、可操作的工作计划，且与部门职能和中长期规划相匹配</w:t>
      </w:r>
      <w:r>
        <w:rPr>
          <w:rFonts w:ascii="Times New Roman"/>
          <w:szCs w:val="32"/>
        </w:rPr>
        <w:t>。</w:t>
      </w:r>
    </w:p>
    <w:p w14:paraId="0B13523A">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7F462F11">
      <w:pPr>
        <w:ind w:firstLine="632" w:firstLineChars="200"/>
        <w:rPr>
          <w:rFonts w:ascii="Times New Roman"/>
          <w:szCs w:val="32"/>
        </w:rPr>
      </w:pPr>
      <w:r>
        <w:rPr>
          <w:rFonts w:hint="eastAsia" w:ascii="Times New Roman"/>
          <w:szCs w:val="32"/>
        </w:rPr>
        <w:t>（2）预算</w:t>
      </w:r>
      <w:r>
        <w:rPr>
          <w:rFonts w:hint="eastAsia" w:ascii="Times New Roman"/>
          <w:bCs/>
          <w:szCs w:val="32"/>
        </w:rPr>
        <w:t>编制</w:t>
      </w:r>
    </w:p>
    <w:p w14:paraId="4288A1A0">
      <w:pPr>
        <w:ind w:firstLine="632" w:firstLineChars="20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预算编制科学性</w:t>
      </w:r>
    </w:p>
    <w:p w14:paraId="0EAD5A1C">
      <w:pPr>
        <w:pStyle w:val="10"/>
        <w:spacing w:line="240" w:lineRule="auto"/>
        <w:ind w:firstLine="632" w:firstLineChars="200"/>
      </w:pPr>
      <w:r>
        <w:rPr>
          <w:rFonts w:hint="eastAsia"/>
          <w:b w:val="0"/>
          <w:bCs/>
        </w:rPr>
        <w:t>本年度部门预算编制的基本支出预算按照规定编制；项目预算测算依据充分。</w:t>
      </w:r>
    </w:p>
    <w:p w14:paraId="2B6695A0">
      <w:pPr>
        <w:ind w:firstLine="632" w:firstLineChars="200"/>
        <w:rPr>
          <w:rFonts w:ascii="Times New Roman"/>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1986F079">
      <w:pPr>
        <w:ind w:firstLine="632" w:firstLineChars="20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ascii="Times New Roman"/>
          <w:szCs w:val="32"/>
        </w:rPr>
        <w:t>预算编制合理性</w:t>
      </w:r>
    </w:p>
    <w:p w14:paraId="68C40129">
      <w:pPr>
        <w:ind w:firstLine="632" w:firstLineChars="200"/>
        <w:rPr>
          <w:rFonts w:ascii="Times New Roman"/>
          <w:szCs w:val="32"/>
        </w:rPr>
      </w:pPr>
      <w:r>
        <w:rPr>
          <w:rFonts w:hint="eastAsia" w:ascii="Times New Roman"/>
          <w:szCs w:val="32"/>
        </w:rPr>
        <w:t>重点项目预算有保障，部门内部项目之间未发现交叉重复</w:t>
      </w:r>
      <w:r>
        <w:rPr>
          <w:rFonts w:ascii="Times New Roman"/>
          <w:szCs w:val="32"/>
        </w:rPr>
        <w:t>。</w:t>
      </w:r>
    </w:p>
    <w:p w14:paraId="426D6C5E">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7AE33041">
      <w:pPr>
        <w:ind w:firstLine="632" w:firstLineChars="200"/>
        <w:rPr>
          <w:rFonts w:ascii="Times New Roman"/>
          <w:szCs w:val="32"/>
        </w:rPr>
      </w:pPr>
      <w:r>
        <w:rPr>
          <w:rFonts w:ascii="Times New Roman"/>
          <w:szCs w:val="32"/>
        </w:rPr>
        <w:fldChar w:fldCharType="begin"/>
      </w:r>
      <w:r>
        <w:rPr>
          <w:rFonts w:ascii="Times New Roman"/>
          <w:szCs w:val="32"/>
        </w:rPr>
        <w:instrText xml:space="preserve"> = 3 \* GB3 </w:instrText>
      </w:r>
      <w:r>
        <w:rPr>
          <w:rFonts w:ascii="Times New Roman"/>
          <w:szCs w:val="32"/>
        </w:rPr>
        <w:fldChar w:fldCharType="separate"/>
      </w:r>
      <w:r>
        <w:rPr>
          <w:rFonts w:hint="eastAsia" w:ascii="宋体" w:hAnsi="宋体" w:eastAsia="宋体" w:cs="宋体"/>
          <w:szCs w:val="32"/>
        </w:rPr>
        <w:t>③</w:t>
      </w:r>
      <w:r>
        <w:rPr>
          <w:rFonts w:ascii="Times New Roman"/>
          <w:szCs w:val="32"/>
        </w:rPr>
        <w:fldChar w:fldCharType="end"/>
      </w:r>
      <w:r>
        <w:rPr>
          <w:rFonts w:hint="eastAsia" w:ascii="Times New Roman"/>
          <w:szCs w:val="32"/>
        </w:rPr>
        <w:t>立项规范</w:t>
      </w:r>
      <w:r>
        <w:rPr>
          <w:rFonts w:ascii="Times New Roman"/>
          <w:szCs w:val="32"/>
        </w:rPr>
        <w:t>性</w:t>
      </w:r>
    </w:p>
    <w:p w14:paraId="78BF3335">
      <w:pPr>
        <w:ind w:firstLine="632" w:firstLineChars="200"/>
        <w:rPr>
          <w:rFonts w:ascii="Times New Roman"/>
          <w:szCs w:val="32"/>
        </w:rPr>
      </w:pPr>
      <w:r>
        <w:rPr>
          <w:rFonts w:hint="eastAsia" w:ascii="Times New Roman"/>
          <w:szCs w:val="32"/>
        </w:rPr>
        <w:t>重点项目设立申请等符合相关程序要求</w:t>
      </w:r>
      <w:r>
        <w:rPr>
          <w:rFonts w:ascii="Times New Roman"/>
          <w:szCs w:val="32"/>
        </w:rPr>
        <w:t>。</w:t>
      </w:r>
    </w:p>
    <w:p w14:paraId="5A1C735C">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10827B0C">
      <w:pPr>
        <w:ind w:firstLine="632" w:firstLineChars="200"/>
      </w:pPr>
      <w:r>
        <w:rPr>
          <w:rFonts w:hint="eastAsia" w:ascii="微软雅黑" w:hAnsi="微软雅黑" w:eastAsia="微软雅黑" w:cs="微软雅黑"/>
        </w:rPr>
        <w:t>④</w:t>
      </w:r>
      <w:r>
        <w:rPr>
          <w:rFonts w:hint="eastAsia"/>
        </w:rPr>
        <w:t>预算调整率</w:t>
      </w:r>
    </w:p>
    <w:p w14:paraId="78B7410A">
      <w:pPr>
        <w:pStyle w:val="10"/>
        <w:spacing w:line="240" w:lineRule="auto"/>
        <w:ind w:firstLine="632" w:firstLineChars="200"/>
        <w:rPr>
          <w:b w:val="0"/>
          <w:bCs/>
        </w:rPr>
      </w:pPr>
      <w:r>
        <w:rPr>
          <w:rFonts w:hint="eastAsia"/>
          <w:b w:val="0"/>
          <w:bCs/>
        </w:rPr>
        <w:t>本年部门总体预算调整率246.47%。</w:t>
      </w:r>
    </w:p>
    <w:p w14:paraId="294719FD">
      <w:pPr>
        <w:ind w:firstLine="632" w:firstLineChars="200"/>
        <w:rPr>
          <w:rFonts w:ascii="Times New Roman"/>
          <w:szCs w:val="32"/>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0</w:t>
      </w:r>
      <w:r>
        <w:rPr>
          <w:rFonts w:ascii="Times New Roman"/>
          <w:szCs w:val="32"/>
        </w:rPr>
        <w:t>分。</w:t>
      </w:r>
    </w:p>
    <w:p w14:paraId="27BCD468">
      <w:pPr>
        <w:ind w:firstLine="632" w:firstLineChars="200"/>
        <w:rPr>
          <w:rFonts w:ascii="Times New Roman"/>
          <w:szCs w:val="32"/>
        </w:rPr>
      </w:pPr>
      <w:r>
        <w:rPr>
          <w:rFonts w:hint="eastAsia" w:ascii="Times New Roman"/>
          <w:szCs w:val="32"/>
        </w:rPr>
        <w:t>（3）预算执行</w:t>
      </w:r>
    </w:p>
    <w:p w14:paraId="122D56ED">
      <w:pPr>
        <w:ind w:firstLine="632" w:firstLineChars="20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预算执行率</w:t>
      </w:r>
    </w:p>
    <w:p w14:paraId="706C7DF6">
      <w:pPr>
        <w:ind w:firstLine="632" w:firstLineChars="200"/>
        <w:rPr>
          <w:rFonts w:ascii="Times New Roman"/>
          <w:szCs w:val="32"/>
        </w:rPr>
      </w:pPr>
      <w:r>
        <w:rPr>
          <w:rFonts w:hint="eastAsia" w:ascii="Times New Roman"/>
          <w:szCs w:val="32"/>
        </w:rPr>
        <w:t>本年度预算完成数与调整后的预算数一致</w:t>
      </w:r>
      <w:r>
        <w:rPr>
          <w:rFonts w:ascii="Times New Roman"/>
          <w:szCs w:val="32"/>
        </w:rPr>
        <w:t>。</w:t>
      </w:r>
    </w:p>
    <w:p w14:paraId="0D294B98">
      <w:pPr>
        <w:ind w:firstLine="632" w:firstLineChars="200"/>
        <w:rPr>
          <w:rFonts w:ascii="Times New Roman"/>
          <w:szCs w:val="32"/>
        </w:rPr>
      </w:pPr>
      <w:r>
        <w:rPr>
          <w:rFonts w:ascii="Times New Roman"/>
          <w:szCs w:val="32"/>
        </w:rPr>
        <w:t>本项标准分值</w:t>
      </w:r>
      <w:r>
        <w:rPr>
          <w:rFonts w:hint="eastAsia" w:ascii="Times New Roman"/>
          <w:szCs w:val="32"/>
        </w:rPr>
        <w:t>2</w:t>
      </w:r>
      <w:r>
        <w:rPr>
          <w:rFonts w:ascii="Times New Roman"/>
          <w:szCs w:val="32"/>
        </w:rPr>
        <w:t>分，综合得分2分。</w:t>
      </w:r>
    </w:p>
    <w:p w14:paraId="0445B833">
      <w:pPr>
        <w:ind w:firstLine="632" w:firstLineChars="200"/>
        <w:rPr>
          <w:rFonts w:ascii="Times New Roman"/>
          <w:szCs w:val="32"/>
        </w:rPr>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ascii="Times New Roman"/>
          <w:szCs w:val="32"/>
        </w:rPr>
        <w:t>结转结余率</w:t>
      </w:r>
    </w:p>
    <w:p w14:paraId="01B835ED">
      <w:pPr>
        <w:ind w:firstLine="632" w:firstLineChars="200"/>
        <w:rPr>
          <w:rFonts w:ascii="Times New Roman"/>
          <w:szCs w:val="32"/>
        </w:rPr>
      </w:pPr>
      <w:r>
        <w:rPr>
          <w:rFonts w:hint="eastAsia" w:ascii="Times New Roman"/>
          <w:szCs w:val="32"/>
        </w:rPr>
        <w:t>本年度账面无结转结余</w:t>
      </w:r>
      <w:r>
        <w:rPr>
          <w:rFonts w:ascii="Times New Roman"/>
          <w:szCs w:val="32"/>
        </w:rPr>
        <w:t>。</w:t>
      </w:r>
    </w:p>
    <w:p w14:paraId="12F97DD2">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085CA807">
      <w:pPr>
        <w:pStyle w:val="10"/>
        <w:spacing w:line="240" w:lineRule="auto"/>
        <w:ind w:firstLine="632" w:firstLineChars="200"/>
        <w:rPr>
          <w:rFonts w:ascii="Times New Roman"/>
          <w:b w:val="0"/>
          <w:bCs/>
          <w:szCs w:val="32"/>
        </w:rPr>
      </w:pPr>
      <w:r>
        <w:rPr>
          <w:rFonts w:hint="eastAsia" w:ascii="宋体" w:hAnsi="宋体" w:eastAsia="宋体" w:cs="宋体"/>
          <w:b w:val="0"/>
          <w:bCs/>
          <w:szCs w:val="32"/>
        </w:rPr>
        <w:t>③</w:t>
      </w:r>
      <w:r>
        <w:rPr>
          <w:rFonts w:hint="eastAsia" w:ascii="Times New Roman"/>
          <w:b w:val="0"/>
          <w:bCs/>
          <w:szCs w:val="32"/>
        </w:rPr>
        <w:t>政府采购执行率</w:t>
      </w:r>
    </w:p>
    <w:p w14:paraId="65A6CAA4">
      <w:pPr>
        <w:pStyle w:val="10"/>
        <w:spacing w:line="240" w:lineRule="auto"/>
        <w:ind w:firstLine="632" w:firstLineChars="200"/>
        <w:rPr>
          <w:rFonts w:ascii="Times New Roman"/>
          <w:b w:val="0"/>
          <w:bCs/>
          <w:szCs w:val="32"/>
        </w:rPr>
      </w:pPr>
      <w:r>
        <w:rPr>
          <w:rFonts w:hint="eastAsia" w:ascii="Times New Roman"/>
          <w:b w:val="0"/>
          <w:bCs/>
          <w:szCs w:val="32"/>
        </w:rPr>
        <w:t>本年度实际政府采购金额不在年初预算内，属于预算调整范围。</w:t>
      </w:r>
    </w:p>
    <w:p w14:paraId="4AB8D4F6">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2FCEC3F9">
      <w:pPr>
        <w:ind w:firstLine="632" w:firstLineChars="200"/>
        <w:rPr>
          <w:rFonts w:ascii="Times New Roman"/>
          <w:bCs/>
          <w:szCs w:val="32"/>
        </w:rPr>
      </w:pPr>
      <w:r>
        <w:rPr>
          <w:rFonts w:hint="eastAsia" w:ascii="宋体" w:hAnsi="宋体" w:eastAsia="宋体" w:cs="宋体"/>
          <w:bCs/>
          <w:szCs w:val="32"/>
        </w:rPr>
        <w:t>④</w:t>
      </w:r>
      <w:r>
        <w:rPr>
          <w:rFonts w:hint="eastAsia" w:ascii="Times New Roman"/>
          <w:bCs/>
          <w:szCs w:val="32"/>
        </w:rPr>
        <w:t>非税收入预算完成率</w:t>
      </w:r>
    </w:p>
    <w:p w14:paraId="2A4102CC">
      <w:pPr>
        <w:ind w:firstLine="632" w:firstLineChars="200"/>
        <w:rPr>
          <w:rFonts w:ascii="Times New Roman"/>
          <w:bCs/>
          <w:szCs w:val="32"/>
        </w:rPr>
      </w:pPr>
      <w:r>
        <w:rPr>
          <w:rFonts w:hint="eastAsia" w:ascii="Times New Roman"/>
          <w:bCs/>
          <w:szCs w:val="32"/>
        </w:rPr>
        <w:t>部门本年度非税收入与预算调整后一致。</w:t>
      </w:r>
    </w:p>
    <w:p w14:paraId="1B150FB3">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1207F35D">
      <w:pPr>
        <w:pStyle w:val="10"/>
        <w:spacing w:line="240" w:lineRule="auto"/>
        <w:ind w:left="630"/>
        <w:rPr>
          <w:rFonts w:ascii="Times New Roman"/>
          <w:b w:val="0"/>
          <w:bCs/>
          <w:szCs w:val="32"/>
        </w:rPr>
      </w:pPr>
      <w:r>
        <w:rPr>
          <w:rFonts w:hint="eastAsia" w:ascii="Times New Roman"/>
          <w:b w:val="0"/>
          <w:bCs/>
          <w:szCs w:val="32"/>
        </w:rPr>
        <w:t>（4）绩效管理</w:t>
      </w:r>
    </w:p>
    <w:p w14:paraId="560FE624">
      <w:pPr>
        <w:ind w:firstLine="632" w:firstLineChars="200"/>
        <w:rPr>
          <w:rFonts w:ascii="Times New Roman"/>
          <w:szCs w:val="32"/>
        </w:rPr>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ascii="Times New Roman"/>
          <w:szCs w:val="32"/>
        </w:rPr>
        <w:t>事前绩效评估完成率</w:t>
      </w:r>
    </w:p>
    <w:p w14:paraId="3AFCC520">
      <w:pPr>
        <w:ind w:firstLine="632" w:firstLineChars="200"/>
        <w:rPr>
          <w:rFonts w:ascii="Times New Roman"/>
          <w:szCs w:val="32"/>
        </w:rPr>
      </w:pPr>
      <w:r>
        <w:rPr>
          <w:rFonts w:hint="eastAsia" w:ascii="Times New Roman"/>
          <w:bCs/>
          <w:szCs w:val="32"/>
        </w:rPr>
        <w:t>部门本年度无事前绩效评估事项。</w:t>
      </w:r>
    </w:p>
    <w:p w14:paraId="0E23327F">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7754EBC1">
      <w:pPr>
        <w:pStyle w:val="10"/>
        <w:spacing w:line="240" w:lineRule="auto"/>
        <w:ind w:firstLine="632" w:firstLineChars="200"/>
        <w:rPr>
          <w:rFonts w:ascii="Times New Roman"/>
          <w:b w:val="0"/>
          <w:bCs/>
          <w:szCs w:val="32"/>
        </w:rPr>
      </w:pPr>
      <w:r>
        <w:rPr>
          <w:rFonts w:ascii="Times New Roman"/>
          <w:b w:val="0"/>
          <w:bCs/>
          <w:szCs w:val="32"/>
        </w:rPr>
        <w:fldChar w:fldCharType="begin"/>
      </w:r>
      <w:r>
        <w:rPr>
          <w:rFonts w:ascii="Times New Roman"/>
          <w:b w:val="0"/>
          <w:bCs/>
          <w:szCs w:val="32"/>
        </w:rPr>
        <w:instrText xml:space="preserve"> = 2 \* GB3 </w:instrText>
      </w:r>
      <w:r>
        <w:rPr>
          <w:rFonts w:ascii="Times New Roman"/>
          <w:b w:val="0"/>
          <w:bCs/>
          <w:szCs w:val="32"/>
        </w:rPr>
        <w:fldChar w:fldCharType="separate"/>
      </w:r>
      <w:r>
        <w:rPr>
          <w:rFonts w:hint="eastAsia" w:ascii="宋体" w:hAnsi="宋体" w:eastAsia="宋体" w:cs="宋体"/>
          <w:b w:val="0"/>
          <w:bCs/>
          <w:szCs w:val="32"/>
        </w:rPr>
        <w:t>②</w:t>
      </w:r>
      <w:r>
        <w:rPr>
          <w:rFonts w:ascii="Times New Roman"/>
          <w:b w:val="0"/>
          <w:bCs/>
          <w:szCs w:val="32"/>
        </w:rPr>
        <w:fldChar w:fldCharType="end"/>
      </w:r>
      <w:r>
        <w:rPr>
          <w:rFonts w:hint="eastAsia" w:ascii="Times New Roman"/>
          <w:b w:val="0"/>
          <w:bCs/>
          <w:szCs w:val="32"/>
        </w:rPr>
        <w:t>绩效目标合理性</w:t>
      </w:r>
    </w:p>
    <w:p w14:paraId="0FE53F1B">
      <w:pPr>
        <w:pStyle w:val="10"/>
        <w:spacing w:line="240" w:lineRule="auto"/>
        <w:ind w:firstLine="632" w:firstLineChars="200"/>
        <w:rPr>
          <w:rFonts w:ascii="Times New Roman"/>
          <w:b w:val="0"/>
          <w:bCs/>
          <w:szCs w:val="32"/>
        </w:rPr>
      </w:pPr>
      <w:r>
        <w:rPr>
          <w:rFonts w:hint="eastAsia" w:ascii="Times New Roman"/>
          <w:b w:val="0"/>
          <w:bCs/>
          <w:szCs w:val="32"/>
        </w:rPr>
        <w:t>本年度绩效目标设置合理。</w:t>
      </w:r>
    </w:p>
    <w:p w14:paraId="68B2A92D">
      <w:pPr>
        <w:ind w:firstLine="632" w:firstLineChars="200"/>
        <w:rPr>
          <w:rFonts w:ascii="Times New Roman"/>
          <w:bCs/>
          <w:szCs w:val="32"/>
        </w:rPr>
      </w:pPr>
      <w:r>
        <w:rPr>
          <w:rFonts w:ascii="Times New Roman"/>
          <w:bCs/>
          <w:szCs w:val="32"/>
        </w:rPr>
        <w:t>本项标准分值</w:t>
      </w:r>
      <w:r>
        <w:rPr>
          <w:rFonts w:hint="eastAsia" w:ascii="Times New Roman"/>
          <w:bCs/>
          <w:szCs w:val="32"/>
        </w:rPr>
        <w:t>1</w:t>
      </w:r>
      <w:r>
        <w:rPr>
          <w:rFonts w:ascii="Times New Roman"/>
          <w:bCs/>
          <w:szCs w:val="32"/>
        </w:rPr>
        <w:t>分，综合得分</w:t>
      </w:r>
      <w:r>
        <w:rPr>
          <w:rFonts w:hint="eastAsia" w:ascii="Times New Roman"/>
          <w:bCs/>
          <w:szCs w:val="32"/>
        </w:rPr>
        <w:t>1</w:t>
      </w:r>
      <w:r>
        <w:rPr>
          <w:rFonts w:ascii="Times New Roman"/>
          <w:bCs/>
          <w:szCs w:val="32"/>
        </w:rPr>
        <w:t>分。</w:t>
      </w:r>
    </w:p>
    <w:p w14:paraId="2911104C">
      <w:pPr>
        <w:ind w:firstLine="632" w:firstLineChars="200"/>
        <w:rPr>
          <w:rFonts w:ascii="Times New Roman"/>
          <w:bCs/>
          <w:szCs w:val="32"/>
        </w:rPr>
      </w:pPr>
      <w:r>
        <w:rPr>
          <w:rFonts w:hint="eastAsia" w:ascii="宋体" w:hAnsi="宋体" w:eastAsia="宋体" w:cs="宋体"/>
          <w:bCs/>
          <w:szCs w:val="32"/>
        </w:rPr>
        <w:t>③</w:t>
      </w:r>
      <w:r>
        <w:rPr>
          <w:rFonts w:hint="eastAsia" w:ascii="Times New Roman"/>
          <w:bCs/>
          <w:szCs w:val="32"/>
        </w:rPr>
        <w:t>绩效监控开展率</w:t>
      </w:r>
    </w:p>
    <w:p w14:paraId="0EAAEB22">
      <w:pPr>
        <w:ind w:firstLine="632" w:firstLineChars="200"/>
        <w:rPr>
          <w:rFonts w:ascii="Times New Roman"/>
          <w:bCs/>
          <w:szCs w:val="32"/>
        </w:rPr>
      </w:pPr>
      <w:r>
        <w:rPr>
          <w:rFonts w:hint="eastAsia" w:ascii="Times New Roman"/>
          <w:bCs/>
          <w:szCs w:val="32"/>
        </w:rPr>
        <w:t>部门有对本年度所有项目支出进行监控，并做汇总。</w:t>
      </w:r>
    </w:p>
    <w:p w14:paraId="4E0B41AE">
      <w:pPr>
        <w:ind w:firstLine="632" w:firstLineChars="200"/>
        <w:rPr>
          <w:rFonts w:ascii="Times New Roman"/>
          <w:bCs/>
          <w:szCs w:val="32"/>
        </w:rPr>
      </w:pPr>
      <w:r>
        <w:rPr>
          <w:rFonts w:ascii="Times New Roman"/>
          <w:bCs/>
          <w:szCs w:val="32"/>
        </w:rPr>
        <w:t>本项标准分值</w:t>
      </w:r>
      <w:r>
        <w:rPr>
          <w:rFonts w:hint="eastAsia" w:ascii="Times New Roman"/>
          <w:bCs/>
          <w:szCs w:val="32"/>
        </w:rPr>
        <w:t>1</w:t>
      </w:r>
      <w:r>
        <w:rPr>
          <w:rFonts w:ascii="Times New Roman"/>
          <w:bCs/>
          <w:szCs w:val="32"/>
        </w:rPr>
        <w:t>分，综合得分</w:t>
      </w:r>
      <w:r>
        <w:rPr>
          <w:rFonts w:hint="eastAsia" w:ascii="Times New Roman"/>
          <w:bCs/>
          <w:szCs w:val="32"/>
        </w:rPr>
        <w:t>1</w:t>
      </w:r>
      <w:r>
        <w:rPr>
          <w:rFonts w:ascii="Times New Roman"/>
          <w:bCs/>
          <w:szCs w:val="32"/>
        </w:rPr>
        <w:t>分。</w:t>
      </w:r>
    </w:p>
    <w:p w14:paraId="20E3913F">
      <w:pPr>
        <w:ind w:firstLine="632" w:firstLineChars="200"/>
        <w:rPr>
          <w:rFonts w:ascii="Times New Roman"/>
          <w:bCs/>
          <w:szCs w:val="32"/>
        </w:rPr>
      </w:pPr>
      <w:r>
        <w:rPr>
          <w:rFonts w:hint="eastAsia" w:ascii="宋体" w:hAnsi="宋体" w:eastAsia="宋体" w:cs="宋体"/>
          <w:bCs/>
          <w:szCs w:val="32"/>
        </w:rPr>
        <w:t>④</w:t>
      </w:r>
      <w:r>
        <w:rPr>
          <w:rFonts w:hint="eastAsia" w:ascii="Times New Roman"/>
          <w:bCs/>
          <w:szCs w:val="32"/>
        </w:rPr>
        <w:t>绩效评价覆盖率</w:t>
      </w:r>
    </w:p>
    <w:p w14:paraId="5547D9FA">
      <w:pPr>
        <w:ind w:firstLine="632" w:firstLineChars="200"/>
        <w:rPr>
          <w:rFonts w:ascii="Times New Roman"/>
          <w:szCs w:val="32"/>
        </w:rPr>
      </w:pPr>
      <w:r>
        <w:rPr>
          <w:rFonts w:hint="eastAsia" w:ascii="Times New Roman"/>
          <w:szCs w:val="32"/>
        </w:rPr>
        <w:t>本年度有开展部门整体自评工作。</w:t>
      </w:r>
    </w:p>
    <w:p w14:paraId="40823F96">
      <w:pPr>
        <w:ind w:firstLine="632" w:firstLineChars="200"/>
        <w:rPr>
          <w:rFonts w:ascii="Times New Roman"/>
          <w:bCs/>
          <w:szCs w:val="32"/>
        </w:rPr>
      </w:pPr>
      <w:r>
        <w:rPr>
          <w:rFonts w:ascii="Times New Roman"/>
          <w:bCs/>
          <w:szCs w:val="32"/>
        </w:rPr>
        <w:t>本项标准分值</w:t>
      </w:r>
      <w:r>
        <w:rPr>
          <w:rFonts w:hint="eastAsia" w:ascii="Times New Roman"/>
          <w:bCs/>
          <w:szCs w:val="32"/>
        </w:rPr>
        <w:t>1</w:t>
      </w:r>
      <w:r>
        <w:rPr>
          <w:rFonts w:ascii="Times New Roman"/>
          <w:bCs/>
          <w:szCs w:val="32"/>
        </w:rPr>
        <w:t>分，综合得分</w:t>
      </w:r>
      <w:r>
        <w:rPr>
          <w:rFonts w:hint="eastAsia" w:ascii="Times New Roman"/>
          <w:bCs/>
          <w:szCs w:val="32"/>
        </w:rPr>
        <w:t>1</w:t>
      </w:r>
      <w:r>
        <w:rPr>
          <w:rFonts w:ascii="Times New Roman"/>
          <w:bCs/>
          <w:szCs w:val="32"/>
        </w:rPr>
        <w:t>分。</w:t>
      </w:r>
    </w:p>
    <w:p w14:paraId="5FCE2951">
      <w:pPr>
        <w:ind w:firstLine="632" w:firstLineChars="200"/>
        <w:rPr>
          <w:rFonts w:ascii="Times New Roman"/>
          <w:szCs w:val="32"/>
        </w:rPr>
      </w:pPr>
      <w:r>
        <w:rPr>
          <w:rFonts w:ascii="Times New Roman"/>
          <w:szCs w:val="32"/>
        </w:rPr>
        <w:fldChar w:fldCharType="begin"/>
      </w:r>
      <w:r>
        <w:rPr>
          <w:rFonts w:ascii="Times New Roman"/>
          <w:szCs w:val="32"/>
        </w:rPr>
        <w:instrText xml:space="preserve"> </w:instrText>
      </w:r>
      <w:r>
        <w:rPr>
          <w:rFonts w:hint="eastAsia" w:ascii="Times New Roman"/>
          <w:szCs w:val="32"/>
        </w:rPr>
        <w:instrText xml:space="preserve">= 5 \* GB3</w:instrText>
      </w:r>
      <w:r>
        <w:rPr>
          <w:rFonts w:ascii="Times New Roman"/>
          <w:szCs w:val="32"/>
        </w:rPr>
        <w:instrText xml:space="preserve"> </w:instrText>
      </w:r>
      <w:r>
        <w:rPr>
          <w:rFonts w:ascii="Times New Roman"/>
          <w:szCs w:val="32"/>
        </w:rPr>
        <w:fldChar w:fldCharType="separate"/>
      </w:r>
      <w:r>
        <w:rPr>
          <w:rFonts w:hint="eastAsia" w:ascii="Times New Roman"/>
          <w:szCs w:val="32"/>
        </w:rPr>
        <w:t>⑤</w:t>
      </w:r>
      <w:r>
        <w:rPr>
          <w:rFonts w:ascii="Times New Roman"/>
          <w:szCs w:val="32"/>
        </w:rPr>
        <w:fldChar w:fldCharType="end"/>
      </w:r>
      <w:r>
        <w:rPr>
          <w:rFonts w:hint="eastAsia" w:ascii="Times New Roman"/>
          <w:szCs w:val="32"/>
        </w:rPr>
        <w:t>评价结果应用率</w:t>
      </w:r>
    </w:p>
    <w:p w14:paraId="031401BD">
      <w:pPr>
        <w:ind w:firstLine="632" w:firstLineChars="200"/>
        <w:rPr>
          <w:rFonts w:ascii="Times New Roman"/>
          <w:szCs w:val="32"/>
        </w:rPr>
      </w:pPr>
      <w:r>
        <w:rPr>
          <w:rFonts w:hint="eastAsia" w:ascii="Times New Roman"/>
          <w:szCs w:val="32"/>
        </w:rPr>
        <w:t>部门以前年度存在问题，本年已得到改善。</w:t>
      </w:r>
    </w:p>
    <w:p w14:paraId="3193660F">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7EBF2258">
      <w:pPr>
        <w:ind w:firstLine="632" w:firstLineChars="200"/>
        <w:rPr>
          <w:rFonts w:ascii="Times New Roman"/>
          <w:szCs w:val="32"/>
        </w:rPr>
      </w:pPr>
      <w:r>
        <w:rPr>
          <w:rFonts w:hint="eastAsia" w:ascii="Times New Roman"/>
          <w:szCs w:val="32"/>
        </w:rPr>
        <w:t>（5）</w:t>
      </w:r>
      <w:r>
        <w:rPr>
          <w:rFonts w:hint="eastAsia"/>
        </w:rPr>
        <w:t>资产管理</w:t>
      </w:r>
    </w:p>
    <w:p w14:paraId="05957319">
      <w:pPr>
        <w:pStyle w:val="10"/>
        <w:spacing w:line="240" w:lineRule="auto"/>
        <w:ind w:firstLine="632" w:firstLineChars="200"/>
        <w:rPr>
          <w:b w:val="0"/>
          <w:bCs/>
        </w:rPr>
      </w:pPr>
      <w:r>
        <w:rPr>
          <w:rFonts w:ascii="Times New Roman"/>
          <w:b w:val="0"/>
          <w:bCs/>
          <w:szCs w:val="32"/>
        </w:rPr>
        <w:fldChar w:fldCharType="begin"/>
      </w:r>
      <w:r>
        <w:rPr>
          <w:rFonts w:ascii="Times New Roman"/>
          <w:b w:val="0"/>
          <w:bCs/>
          <w:szCs w:val="32"/>
        </w:rPr>
        <w:instrText xml:space="preserve"> = 1 \* GB3 </w:instrText>
      </w:r>
      <w:r>
        <w:rPr>
          <w:rFonts w:ascii="Times New Roman"/>
          <w:b w:val="0"/>
          <w:bCs/>
          <w:szCs w:val="32"/>
        </w:rPr>
        <w:fldChar w:fldCharType="separate"/>
      </w:r>
      <w:r>
        <w:rPr>
          <w:rFonts w:hint="eastAsia" w:ascii="宋体" w:hAnsi="宋体" w:eastAsia="宋体" w:cs="宋体"/>
          <w:b w:val="0"/>
          <w:bCs/>
          <w:szCs w:val="32"/>
        </w:rPr>
        <w:t>①</w:t>
      </w:r>
      <w:r>
        <w:rPr>
          <w:rFonts w:ascii="Times New Roman"/>
          <w:b w:val="0"/>
          <w:bCs/>
          <w:szCs w:val="32"/>
        </w:rPr>
        <w:fldChar w:fldCharType="end"/>
      </w:r>
      <w:r>
        <w:rPr>
          <w:rFonts w:hint="eastAsia"/>
          <w:b w:val="0"/>
          <w:bCs/>
        </w:rPr>
        <w:t>资产管理制度健全性</w:t>
      </w:r>
    </w:p>
    <w:p w14:paraId="516D3390">
      <w:pPr>
        <w:pStyle w:val="10"/>
        <w:spacing w:line="240" w:lineRule="auto"/>
        <w:ind w:firstLine="632" w:firstLineChars="200"/>
        <w:rPr>
          <w:b w:val="0"/>
          <w:bCs/>
        </w:rPr>
      </w:pPr>
      <w:r>
        <w:rPr>
          <w:rFonts w:hint="eastAsia"/>
          <w:b w:val="0"/>
          <w:bCs/>
        </w:rPr>
        <w:t>部门有制定相关的资产管理制度。</w:t>
      </w:r>
    </w:p>
    <w:p w14:paraId="655FFEF7">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2EC539E6">
      <w:pPr>
        <w:ind w:firstLine="632" w:firstLineChars="200"/>
      </w:pPr>
      <w:r>
        <w:rPr>
          <w:rFonts w:ascii="Times New Roman"/>
          <w:szCs w:val="32"/>
        </w:rPr>
        <w:fldChar w:fldCharType="begin"/>
      </w:r>
      <w:r>
        <w:rPr>
          <w:rFonts w:ascii="Times New Roman"/>
          <w:szCs w:val="32"/>
        </w:rPr>
        <w:instrText xml:space="preserve"> = 2 \* GB3 </w:instrText>
      </w:r>
      <w:r>
        <w:rPr>
          <w:rFonts w:ascii="Times New Roman"/>
          <w:szCs w:val="32"/>
        </w:rPr>
        <w:fldChar w:fldCharType="separate"/>
      </w:r>
      <w:r>
        <w:rPr>
          <w:rFonts w:hint="eastAsia" w:ascii="宋体" w:hAnsi="宋体" w:eastAsia="宋体" w:cs="宋体"/>
          <w:szCs w:val="32"/>
        </w:rPr>
        <w:t>②</w:t>
      </w:r>
      <w:r>
        <w:rPr>
          <w:rFonts w:ascii="Times New Roman"/>
          <w:szCs w:val="32"/>
        </w:rPr>
        <w:fldChar w:fldCharType="end"/>
      </w:r>
      <w:r>
        <w:rPr>
          <w:rFonts w:hint="eastAsia"/>
        </w:rPr>
        <w:t>资产管理规范性</w:t>
      </w:r>
    </w:p>
    <w:p w14:paraId="5F4B032C">
      <w:pPr>
        <w:ind w:firstLine="632" w:firstLineChars="200"/>
      </w:pPr>
      <w:r>
        <w:rPr>
          <w:rFonts w:hint="eastAsia"/>
          <w:bCs/>
        </w:rPr>
        <w:t>部门本年度有按照资产管理制度进行资产处置，但未按规定定期对现有资产进行盘点。</w:t>
      </w:r>
    </w:p>
    <w:p w14:paraId="5BC587EC">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0.7</w:t>
      </w:r>
      <w:r>
        <w:rPr>
          <w:rFonts w:ascii="Times New Roman"/>
          <w:szCs w:val="32"/>
        </w:rPr>
        <w:t>分。</w:t>
      </w:r>
    </w:p>
    <w:p w14:paraId="43FC59E0">
      <w:pPr>
        <w:ind w:firstLine="632" w:firstLineChars="200"/>
        <w:rPr>
          <w:rFonts w:ascii="Times New Roman"/>
          <w:szCs w:val="32"/>
        </w:rPr>
      </w:pPr>
      <w:r>
        <w:rPr>
          <w:rFonts w:hint="eastAsia" w:ascii="Times New Roman"/>
          <w:szCs w:val="32"/>
        </w:rPr>
        <w:t>（6）</w:t>
      </w:r>
      <w:r>
        <w:rPr>
          <w:rFonts w:hint="eastAsia"/>
          <w:bCs/>
        </w:rPr>
        <w:t>财务管理</w:t>
      </w:r>
    </w:p>
    <w:p w14:paraId="4310CADB">
      <w:pPr>
        <w:ind w:firstLine="632" w:firstLineChars="200"/>
      </w:pPr>
      <w:r>
        <w:rPr>
          <w:rFonts w:ascii="Times New Roman"/>
          <w:szCs w:val="32"/>
        </w:rPr>
        <w:fldChar w:fldCharType="begin"/>
      </w:r>
      <w:r>
        <w:rPr>
          <w:rFonts w:ascii="Times New Roman"/>
          <w:szCs w:val="32"/>
        </w:rPr>
        <w:instrText xml:space="preserve"> = 1 \* GB3 </w:instrText>
      </w:r>
      <w:r>
        <w:rPr>
          <w:rFonts w:ascii="Times New Roman"/>
          <w:szCs w:val="32"/>
        </w:rPr>
        <w:fldChar w:fldCharType="separate"/>
      </w:r>
      <w:r>
        <w:rPr>
          <w:rFonts w:hint="eastAsia" w:ascii="宋体" w:hAnsi="宋体" w:eastAsia="宋体" w:cs="宋体"/>
          <w:szCs w:val="32"/>
        </w:rPr>
        <w:t>①</w:t>
      </w:r>
      <w:r>
        <w:rPr>
          <w:rFonts w:ascii="Times New Roman"/>
          <w:szCs w:val="32"/>
        </w:rPr>
        <w:fldChar w:fldCharType="end"/>
      </w:r>
      <w:r>
        <w:rPr>
          <w:rFonts w:hint="eastAsia"/>
        </w:rPr>
        <w:t>财务管理制度健全性</w:t>
      </w:r>
    </w:p>
    <w:p w14:paraId="7642FD49">
      <w:pPr>
        <w:ind w:firstLine="632" w:firstLineChars="200"/>
      </w:pPr>
      <w:r>
        <w:rPr>
          <w:rFonts w:hint="eastAsia"/>
        </w:rPr>
        <w:t>部门有制定相关的财务管理制度。</w:t>
      </w:r>
    </w:p>
    <w:p w14:paraId="02FBCF89">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1155718C">
      <w:pPr>
        <w:pStyle w:val="10"/>
        <w:spacing w:line="240" w:lineRule="auto"/>
        <w:ind w:firstLine="632" w:firstLineChars="200"/>
        <w:rPr>
          <w:b w:val="0"/>
          <w:bCs/>
        </w:rPr>
      </w:pPr>
      <w:r>
        <w:rPr>
          <w:rFonts w:ascii="Times New Roman"/>
          <w:b w:val="0"/>
          <w:szCs w:val="32"/>
        </w:rPr>
        <w:fldChar w:fldCharType="begin"/>
      </w:r>
      <w:r>
        <w:rPr>
          <w:rFonts w:ascii="Times New Roman"/>
          <w:b w:val="0"/>
          <w:szCs w:val="32"/>
        </w:rPr>
        <w:instrText xml:space="preserve"> = 2 \* GB3 </w:instrText>
      </w:r>
      <w:r>
        <w:rPr>
          <w:rFonts w:ascii="Times New Roman"/>
          <w:b w:val="0"/>
          <w:szCs w:val="32"/>
        </w:rPr>
        <w:fldChar w:fldCharType="separate"/>
      </w:r>
      <w:r>
        <w:rPr>
          <w:rFonts w:hint="eastAsia" w:ascii="宋体" w:hAnsi="宋体" w:eastAsia="宋体" w:cs="宋体"/>
          <w:b w:val="0"/>
          <w:szCs w:val="32"/>
        </w:rPr>
        <w:t>②</w:t>
      </w:r>
      <w:r>
        <w:rPr>
          <w:rFonts w:ascii="Times New Roman"/>
          <w:b w:val="0"/>
          <w:szCs w:val="32"/>
        </w:rPr>
        <w:fldChar w:fldCharType="end"/>
      </w:r>
      <w:r>
        <w:rPr>
          <w:rFonts w:hint="eastAsia"/>
          <w:b w:val="0"/>
          <w:bCs/>
        </w:rPr>
        <w:t>会计核算规范性</w:t>
      </w:r>
    </w:p>
    <w:p w14:paraId="15F1B2E0">
      <w:pPr>
        <w:pStyle w:val="10"/>
        <w:spacing w:line="240" w:lineRule="auto"/>
        <w:ind w:firstLine="632" w:firstLineChars="200"/>
        <w:rPr>
          <w:b w:val="0"/>
          <w:bCs/>
        </w:rPr>
      </w:pPr>
      <w:r>
        <w:rPr>
          <w:rFonts w:hint="eastAsia"/>
          <w:b w:val="0"/>
          <w:bCs/>
        </w:rPr>
        <w:t>本年度会计核算符合国家财经法规和财务管理制度及专项资金管理的有关规定。</w:t>
      </w:r>
    </w:p>
    <w:p w14:paraId="7467E987">
      <w:pPr>
        <w:ind w:firstLine="632" w:firstLineChars="200"/>
        <w:rPr>
          <w:rFonts w:ascii="Times New Roman"/>
          <w:szCs w:val="32"/>
        </w:rPr>
      </w:pPr>
      <w:r>
        <w:rPr>
          <w:rFonts w:ascii="Times New Roman"/>
          <w:szCs w:val="32"/>
        </w:rPr>
        <w:t>本项标准分值</w:t>
      </w:r>
      <w:r>
        <w:rPr>
          <w:rFonts w:hint="eastAsia" w:ascii="Times New Roman"/>
          <w:szCs w:val="32"/>
        </w:rPr>
        <w:t>1</w:t>
      </w:r>
      <w:r>
        <w:rPr>
          <w:rFonts w:ascii="Times New Roman"/>
          <w:szCs w:val="32"/>
        </w:rPr>
        <w:t>分，综合得分</w:t>
      </w:r>
      <w:r>
        <w:rPr>
          <w:rFonts w:hint="eastAsia" w:ascii="Times New Roman"/>
          <w:szCs w:val="32"/>
        </w:rPr>
        <w:t>1</w:t>
      </w:r>
      <w:r>
        <w:rPr>
          <w:rFonts w:ascii="Times New Roman"/>
          <w:szCs w:val="32"/>
        </w:rPr>
        <w:t>分。</w:t>
      </w:r>
    </w:p>
    <w:p w14:paraId="5176DC0C">
      <w:pPr>
        <w:ind w:firstLine="632" w:firstLineChars="200"/>
      </w:pPr>
      <w:r>
        <w:rPr>
          <w:rFonts w:hint="eastAsia" w:ascii="宋体" w:hAnsi="宋体" w:eastAsia="宋体" w:cs="宋体"/>
          <w:bCs/>
          <w:szCs w:val="32"/>
        </w:rPr>
        <w:t>③</w:t>
      </w:r>
      <w:r>
        <w:rPr>
          <w:rFonts w:hint="eastAsia"/>
        </w:rPr>
        <w:t>资金使用合规性</w:t>
      </w:r>
    </w:p>
    <w:p w14:paraId="57E4A9E0">
      <w:pPr>
        <w:ind w:firstLine="632" w:firstLineChars="200"/>
      </w:pPr>
      <w:r>
        <w:rPr>
          <w:rFonts w:hint="eastAsia"/>
          <w:bCs/>
        </w:rPr>
        <w:t>本年度资金使用符合相关规定，未发现截留、挤占、挪用虚列等情况，资金支付有完整的审批程序和手续。</w:t>
      </w:r>
    </w:p>
    <w:p w14:paraId="7A55D754">
      <w:pPr>
        <w:ind w:firstLine="632" w:firstLineChars="200"/>
        <w:rPr>
          <w:rFonts w:ascii="Times New Roman"/>
          <w:bCs/>
          <w:szCs w:val="32"/>
        </w:rPr>
      </w:pPr>
      <w:r>
        <w:rPr>
          <w:rFonts w:ascii="Times New Roman"/>
          <w:bCs/>
          <w:szCs w:val="32"/>
        </w:rPr>
        <w:t>本项标准分值</w:t>
      </w:r>
      <w:r>
        <w:rPr>
          <w:rFonts w:hint="eastAsia" w:ascii="Times New Roman"/>
          <w:bCs/>
          <w:szCs w:val="32"/>
        </w:rPr>
        <w:t>1</w:t>
      </w:r>
      <w:r>
        <w:rPr>
          <w:rFonts w:ascii="Times New Roman"/>
          <w:bCs/>
          <w:szCs w:val="32"/>
        </w:rPr>
        <w:t>分，综合得分</w:t>
      </w:r>
      <w:r>
        <w:rPr>
          <w:rFonts w:hint="eastAsia" w:ascii="Times New Roman"/>
          <w:bCs/>
          <w:szCs w:val="32"/>
        </w:rPr>
        <w:t>1</w:t>
      </w:r>
      <w:r>
        <w:rPr>
          <w:rFonts w:ascii="Times New Roman"/>
          <w:bCs/>
          <w:szCs w:val="32"/>
        </w:rPr>
        <w:t>分。</w:t>
      </w:r>
    </w:p>
    <w:p w14:paraId="4A32B35E">
      <w:pPr>
        <w:pStyle w:val="4"/>
        <w:spacing w:line="560" w:lineRule="exact"/>
        <w:ind w:firstLine="633"/>
        <w:rPr>
          <w:rFonts w:ascii="Times New Roman" w:hAnsi="Times New Roman"/>
          <w:sz w:val="32"/>
          <w:szCs w:val="36"/>
        </w:rPr>
      </w:pPr>
      <w:r>
        <w:rPr>
          <w:rFonts w:ascii="Times New Roman" w:hAnsi="Times New Roman"/>
          <w:sz w:val="32"/>
          <w:szCs w:val="36"/>
        </w:rPr>
        <w:t>3、</w:t>
      </w:r>
      <w:r>
        <w:rPr>
          <w:rFonts w:hint="eastAsia" w:ascii="Times New Roman" w:hAnsi="Times New Roman"/>
          <w:sz w:val="32"/>
          <w:szCs w:val="36"/>
        </w:rPr>
        <w:t>履职效能指标完成情况详细分析</w:t>
      </w:r>
    </w:p>
    <w:p w14:paraId="1617EEC0">
      <w:pPr>
        <w:spacing w:line="560" w:lineRule="exact"/>
        <w:ind w:firstLine="632" w:firstLineChars="200"/>
        <w:rPr>
          <w:rFonts w:ascii="Times New Roman"/>
          <w:szCs w:val="32"/>
        </w:rPr>
      </w:pPr>
      <w:r>
        <w:rPr>
          <w:rFonts w:hint="eastAsia" w:ascii="Times New Roman"/>
          <w:szCs w:val="36"/>
        </w:rPr>
        <w:t>履职效能</w:t>
      </w:r>
      <w:r>
        <w:rPr>
          <w:rFonts w:ascii="Times New Roman"/>
          <w:szCs w:val="32"/>
        </w:rPr>
        <w:t>指标总分值</w:t>
      </w:r>
      <w:r>
        <w:rPr>
          <w:rFonts w:hint="eastAsia" w:ascii="Times New Roman"/>
          <w:szCs w:val="32"/>
        </w:rPr>
        <w:t>54</w:t>
      </w:r>
      <w:r>
        <w:rPr>
          <w:rFonts w:ascii="Times New Roman"/>
          <w:szCs w:val="32"/>
        </w:rPr>
        <w:t>分，实际得分</w:t>
      </w:r>
      <w:r>
        <w:rPr>
          <w:rFonts w:hint="eastAsia" w:ascii="Times New Roman"/>
          <w:szCs w:val="32"/>
        </w:rPr>
        <w:t>49.02</w:t>
      </w:r>
      <w:r>
        <w:rPr>
          <w:rFonts w:ascii="Times New Roman"/>
          <w:szCs w:val="32"/>
        </w:rPr>
        <w:t>分。各项指标具体完成情况如下：</w:t>
      </w:r>
    </w:p>
    <w:p w14:paraId="2F2EE7CF">
      <w:pPr>
        <w:spacing w:line="560" w:lineRule="exact"/>
        <w:ind w:firstLine="632" w:firstLineChars="200"/>
        <w:rPr>
          <w:rFonts w:ascii="Times New Roman"/>
          <w:szCs w:val="32"/>
        </w:rPr>
      </w:pPr>
      <w:r>
        <w:rPr>
          <w:rFonts w:ascii="Times New Roman"/>
          <w:szCs w:val="32"/>
        </w:rPr>
        <w:t>（1）</w:t>
      </w:r>
      <w:r>
        <w:rPr>
          <w:rFonts w:hint="eastAsia" w:ascii="Times New Roman"/>
          <w:szCs w:val="32"/>
        </w:rPr>
        <w:t>数量</w:t>
      </w:r>
    </w:p>
    <w:p w14:paraId="357FC28C">
      <w:pPr>
        <w:spacing w:line="560" w:lineRule="exact"/>
        <w:ind w:firstLine="632" w:firstLineChars="200"/>
        <w:rPr>
          <w:rFonts w:ascii="Times New Roman"/>
          <w:szCs w:val="32"/>
        </w:rPr>
      </w:pPr>
      <w:r>
        <w:rPr>
          <w:rFonts w:ascii="Times New Roman"/>
          <w:szCs w:val="32"/>
        </w:rPr>
        <w:t>根据工作任务目标，202</w:t>
      </w:r>
      <w:r>
        <w:rPr>
          <w:rFonts w:hint="eastAsia" w:ascii="Times New Roman"/>
          <w:szCs w:val="32"/>
        </w:rPr>
        <w:t>2</w:t>
      </w:r>
      <w:r>
        <w:rPr>
          <w:rFonts w:ascii="Times New Roman"/>
          <w:szCs w:val="32"/>
        </w:rPr>
        <w:t>年</w:t>
      </w:r>
      <w:r>
        <w:rPr>
          <w:rFonts w:hint="eastAsia" w:ascii="Times New Roman"/>
          <w:szCs w:val="32"/>
        </w:rPr>
        <w:t>西塞山区卫生健康局部门整体支出</w:t>
      </w:r>
      <w:r>
        <w:rPr>
          <w:rFonts w:ascii="Times New Roman"/>
          <w:szCs w:val="32"/>
        </w:rPr>
        <w:t>项目数量指标未全部完成，具体见下表：</w:t>
      </w:r>
    </w:p>
    <w:tbl>
      <w:tblPr>
        <w:tblStyle w:val="13"/>
        <w:tblW w:w="8985" w:type="dxa"/>
        <w:tblInd w:w="91" w:type="dxa"/>
        <w:tblLayout w:type="autofit"/>
        <w:tblCellMar>
          <w:top w:w="0" w:type="dxa"/>
          <w:left w:w="108" w:type="dxa"/>
          <w:bottom w:w="0" w:type="dxa"/>
          <w:right w:w="108" w:type="dxa"/>
        </w:tblCellMar>
      </w:tblPr>
      <w:tblGrid>
        <w:gridCol w:w="1624"/>
        <w:gridCol w:w="959"/>
        <w:gridCol w:w="1041"/>
        <w:gridCol w:w="1041"/>
        <w:gridCol w:w="959"/>
        <w:gridCol w:w="3361"/>
      </w:tblGrid>
      <w:tr w14:paraId="5950FFE0">
        <w:tblPrEx>
          <w:tblCellMar>
            <w:top w:w="0" w:type="dxa"/>
            <w:left w:w="108" w:type="dxa"/>
            <w:bottom w:w="0" w:type="dxa"/>
            <w:right w:w="108" w:type="dxa"/>
          </w:tblCellMar>
        </w:tblPrEx>
        <w:trPr>
          <w:trHeight w:val="238" w:hRule="atLeast"/>
          <w:tblHeader/>
        </w:trPr>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403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三级指标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833A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目标值</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2A98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完成情况</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E317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完成率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C71E1">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得分</w:t>
            </w:r>
          </w:p>
        </w:tc>
        <w:tc>
          <w:tcPr>
            <w:tcW w:w="3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9A1C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证据来源</w:t>
            </w:r>
          </w:p>
        </w:tc>
      </w:tr>
      <w:tr w14:paraId="42B2F8CF">
        <w:tblPrEx>
          <w:tblCellMar>
            <w:top w:w="0" w:type="dxa"/>
            <w:left w:w="108" w:type="dxa"/>
            <w:bottom w:w="0" w:type="dxa"/>
            <w:right w:w="108" w:type="dxa"/>
          </w:tblCellMar>
        </w:tblPrEx>
        <w:trPr>
          <w:trHeight w:val="480" w:hRule="atLeast"/>
        </w:trPr>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51C61">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适龄儿童国家免疫规划疫苗接种率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E6D37">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目标≥90%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07E6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90%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DB0FF">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90%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C0B58">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4.00 </w:t>
            </w:r>
          </w:p>
        </w:tc>
        <w:tc>
          <w:tcPr>
            <w:tcW w:w="3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BE73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2022年省级基本公共卫生补助资金区域绩效目标表，国家基本公卫服务项目统计调查表</w:t>
            </w:r>
          </w:p>
        </w:tc>
      </w:tr>
      <w:tr w14:paraId="5C99517D">
        <w:tblPrEx>
          <w:tblCellMar>
            <w:top w:w="0" w:type="dxa"/>
            <w:left w:w="108" w:type="dxa"/>
            <w:bottom w:w="0" w:type="dxa"/>
            <w:right w:w="108" w:type="dxa"/>
          </w:tblCellMar>
        </w:tblPrEx>
        <w:trPr>
          <w:trHeight w:val="365" w:hRule="atLeast"/>
        </w:trPr>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FFB88">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儿童健康管理率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1848D">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目标≥85%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6B72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89.08%</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AAF7">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89.08%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47E01">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4.00 </w:t>
            </w:r>
          </w:p>
        </w:tc>
        <w:tc>
          <w:tcPr>
            <w:tcW w:w="3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AFA7">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2022年省级基本公共卫生补助资金区域绩效目标表，国家基本公卫服务项目统计调查表</w:t>
            </w:r>
          </w:p>
        </w:tc>
      </w:tr>
      <w:tr w14:paraId="2C8DC319">
        <w:tblPrEx>
          <w:tblCellMar>
            <w:top w:w="0" w:type="dxa"/>
            <w:left w:w="108" w:type="dxa"/>
            <w:bottom w:w="0" w:type="dxa"/>
            <w:right w:w="108" w:type="dxa"/>
          </w:tblCellMar>
        </w:tblPrEx>
        <w:trPr>
          <w:trHeight w:val="720" w:hRule="atLeast"/>
        </w:trPr>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80E9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0－6岁儿童眼保健和视力检查覆盖率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56D94">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目标≥90%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9D11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87.69%</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03D9">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87.69%</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B60F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3.54 </w:t>
            </w:r>
          </w:p>
        </w:tc>
        <w:tc>
          <w:tcPr>
            <w:tcW w:w="3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4BCD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2022年省级基本公共卫生补助资金区域绩效目标表，国家基本公卫服务项目统计调查表，“323”攻坚行动-出生缺陷防治工作月报表（0-6岁儿童眼保健和视力检查工作报表）</w:t>
            </w:r>
          </w:p>
        </w:tc>
      </w:tr>
      <w:tr w14:paraId="31307673">
        <w:tblPrEx>
          <w:tblCellMar>
            <w:top w:w="0" w:type="dxa"/>
            <w:left w:w="108" w:type="dxa"/>
            <w:bottom w:w="0" w:type="dxa"/>
            <w:right w:w="108" w:type="dxa"/>
          </w:tblCellMar>
        </w:tblPrEx>
        <w:trPr>
          <w:trHeight w:val="720" w:hRule="atLeast"/>
        </w:trPr>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26FFF">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孕产妇系统管理率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6248">
            <w:pPr>
              <w:widowControl/>
              <w:spacing w:line="0" w:lineRule="atLeast"/>
              <w:jc w:val="left"/>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目标≥90%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A1310">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98.91%</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A1B6A">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98.91%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A79BE">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4.00 </w:t>
            </w:r>
          </w:p>
        </w:tc>
        <w:tc>
          <w:tcPr>
            <w:tcW w:w="3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D2566">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2022年省级基本公共卫生补助资金区域绩效目标表，国家基本公卫服务项目统计调查表</w:t>
            </w:r>
          </w:p>
        </w:tc>
      </w:tr>
      <w:tr w14:paraId="44FF8369">
        <w:tblPrEx>
          <w:tblCellMar>
            <w:top w:w="0" w:type="dxa"/>
            <w:left w:w="108" w:type="dxa"/>
            <w:bottom w:w="0" w:type="dxa"/>
            <w:right w:w="108" w:type="dxa"/>
          </w:tblCellMar>
        </w:tblPrEx>
        <w:trPr>
          <w:trHeight w:val="720" w:hRule="atLeast"/>
        </w:trPr>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CDCB1">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高血压患者管理人数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B2DA5">
            <w:pPr>
              <w:widowControl/>
              <w:spacing w:line="0" w:lineRule="atLeast"/>
              <w:jc w:val="left"/>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任务数16210人</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2E763">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16035人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38FA5">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98.92%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A55C8">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3.78 </w:t>
            </w:r>
          </w:p>
        </w:tc>
        <w:tc>
          <w:tcPr>
            <w:tcW w:w="3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98CE8">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2022年高血压、糖尿病患者任务数分配，高血压患者健康管理季度报表，健康管理档案实时统计表</w:t>
            </w:r>
          </w:p>
        </w:tc>
      </w:tr>
      <w:tr w14:paraId="29F2EF4E">
        <w:tblPrEx>
          <w:tblCellMar>
            <w:top w:w="0" w:type="dxa"/>
            <w:left w:w="108" w:type="dxa"/>
            <w:bottom w:w="0" w:type="dxa"/>
            <w:right w:w="108" w:type="dxa"/>
          </w:tblCellMar>
        </w:tblPrEx>
        <w:trPr>
          <w:trHeight w:val="720" w:hRule="atLeast"/>
        </w:trPr>
        <w:tc>
          <w:tcPr>
            <w:tcW w:w="1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138E6">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宫颈癌筛查人数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09CA8">
            <w:pPr>
              <w:widowControl/>
              <w:spacing w:line="0" w:lineRule="atLeast"/>
              <w:jc w:val="left"/>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任务数9514人</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6AF58">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3252人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1CCC3">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34.18%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9302D">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0.00 </w:t>
            </w:r>
          </w:p>
        </w:tc>
        <w:tc>
          <w:tcPr>
            <w:tcW w:w="3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A184C">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西塞山区2022-2024年城乡适龄妇女宫颈癌免费筛查实施方案、妇女宫颈癌及乳腺癌筛查情况年报表，市妇幼宫颈癌筛查一览表（智慧平台）</w:t>
            </w:r>
          </w:p>
        </w:tc>
      </w:tr>
      <w:tr w14:paraId="30CAFA54">
        <w:tblPrEx>
          <w:tblCellMar>
            <w:top w:w="0" w:type="dxa"/>
            <w:left w:w="108" w:type="dxa"/>
            <w:bottom w:w="0" w:type="dxa"/>
            <w:right w:w="108" w:type="dxa"/>
          </w:tblCellMar>
        </w:tblPrEx>
        <w:trPr>
          <w:trHeight w:val="618" w:hRule="atLeast"/>
        </w:trPr>
        <w:tc>
          <w:tcPr>
            <w:tcW w:w="46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D3590D">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合计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C4022">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19.32</w:t>
            </w:r>
          </w:p>
        </w:tc>
        <w:tc>
          <w:tcPr>
            <w:tcW w:w="3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52E39">
            <w:pPr>
              <w:widowControl/>
              <w:spacing w:line="0" w:lineRule="atLeast"/>
              <w:jc w:val="left"/>
              <w:textAlignment w:val="center"/>
              <w:rPr>
                <w:rFonts w:ascii="仿宋" w:hAnsi="仿宋" w:eastAsia="仿宋" w:cs="仿宋"/>
                <w:kern w:val="0"/>
                <w:sz w:val="28"/>
                <w:szCs w:val="28"/>
                <w:lang w:bidi="ar"/>
              </w:rPr>
            </w:pPr>
          </w:p>
        </w:tc>
      </w:tr>
    </w:tbl>
    <w:p w14:paraId="75F23623">
      <w:pPr>
        <w:spacing w:line="560" w:lineRule="exact"/>
        <w:ind w:firstLine="632" w:firstLineChars="200"/>
        <w:rPr>
          <w:rFonts w:ascii="Times New Roman"/>
        </w:rPr>
      </w:pPr>
      <w:r>
        <w:rPr>
          <w:rFonts w:ascii="Times New Roman"/>
          <w:szCs w:val="32"/>
        </w:rPr>
        <w:t>本项标准分值</w:t>
      </w:r>
      <w:r>
        <w:rPr>
          <w:rFonts w:hint="eastAsia" w:ascii="Times New Roman"/>
          <w:szCs w:val="32"/>
        </w:rPr>
        <w:t>24</w:t>
      </w:r>
      <w:r>
        <w:rPr>
          <w:rFonts w:ascii="Times New Roman"/>
          <w:szCs w:val="32"/>
        </w:rPr>
        <w:t>分，综合得分</w:t>
      </w:r>
      <w:r>
        <w:rPr>
          <w:rFonts w:hint="eastAsia" w:ascii="Times New Roman"/>
          <w:szCs w:val="32"/>
        </w:rPr>
        <w:t>19.32</w:t>
      </w:r>
      <w:r>
        <w:rPr>
          <w:rFonts w:ascii="Times New Roman"/>
          <w:szCs w:val="32"/>
        </w:rPr>
        <w:t>分。</w:t>
      </w:r>
    </w:p>
    <w:p w14:paraId="6813E3CF">
      <w:pPr>
        <w:pStyle w:val="5"/>
        <w:spacing w:line="560" w:lineRule="exact"/>
        <w:ind w:firstLine="632" w:firstLineChars="200"/>
        <w:rPr>
          <w:rFonts w:ascii="Times New Roman"/>
          <w:szCs w:val="32"/>
        </w:rPr>
      </w:pPr>
      <w:r>
        <w:rPr>
          <w:rFonts w:ascii="Times New Roman"/>
          <w:szCs w:val="32"/>
        </w:rPr>
        <w:t>（2）质量</w:t>
      </w:r>
    </w:p>
    <w:p w14:paraId="5E176938">
      <w:pPr>
        <w:spacing w:line="560" w:lineRule="exact"/>
        <w:ind w:firstLine="632" w:firstLineChars="200"/>
        <w:rPr>
          <w:rFonts w:ascii="Times New Roman"/>
          <w:szCs w:val="32"/>
        </w:rPr>
      </w:pPr>
      <w:r>
        <w:rPr>
          <w:rFonts w:ascii="Times New Roman"/>
          <w:szCs w:val="32"/>
        </w:rPr>
        <w:t>根据工作</w:t>
      </w:r>
      <w:r>
        <w:rPr>
          <w:rFonts w:hint="eastAsia" w:ascii="Times New Roman"/>
          <w:szCs w:val="32"/>
        </w:rPr>
        <w:t>质量</w:t>
      </w:r>
      <w:r>
        <w:rPr>
          <w:rFonts w:ascii="Times New Roman"/>
          <w:szCs w:val="32"/>
        </w:rPr>
        <w:t>目标，202</w:t>
      </w:r>
      <w:r>
        <w:rPr>
          <w:rFonts w:hint="eastAsia" w:ascii="Times New Roman"/>
          <w:szCs w:val="32"/>
        </w:rPr>
        <w:t>2</w:t>
      </w:r>
      <w:r>
        <w:rPr>
          <w:rFonts w:ascii="Times New Roman"/>
          <w:szCs w:val="32"/>
        </w:rPr>
        <w:t>年</w:t>
      </w:r>
      <w:r>
        <w:rPr>
          <w:rFonts w:hint="eastAsia" w:ascii="Times New Roman"/>
          <w:szCs w:val="32"/>
        </w:rPr>
        <w:t>西塞山区卫生健康局部门整体支出</w:t>
      </w:r>
      <w:r>
        <w:rPr>
          <w:rFonts w:ascii="Times New Roman"/>
          <w:szCs w:val="32"/>
        </w:rPr>
        <w:t>项目</w:t>
      </w:r>
      <w:r>
        <w:rPr>
          <w:rFonts w:hint="eastAsia" w:ascii="Times New Roman"/>
          <w:szCs w:val="32"/>
        </w:rPr>
        <w:t>质量</w:t>
      </w:r>
      <w:r>
        <w:rPr>
          <w:rFonts w:ascii="Times New Roman"/>
          <w:szCs w:val="32"/>
        </w:rPr>
        <w:t>指标</w:t>
      </w:r>
      <w:r>
        <w:rPr>
          <w:rFonts w:hint="eastAsia" w:ascii="Times New Roman"/>
          <w:szCs w:val="32"/>
        </w:rPr>
        <w:t>未</w:t>
      </w:r>
      <w:r>
        <w:rPr>
          <w:rFonts w:ascii="Times New Roman"/>
          <w:szCs w:val="32"/>
        </w:rPr>
        <w:t>全部完成，具体见下表：</w:t>
      </w:r>
    </w:p>
    <w:tbl>
      <w:tblPr>
        <w:tblStyle w:val="13"/>
        <w:tblW w:w="8787" w:type="dxa"/>
        <w:tblInd w:w="91" w:type="dxa"/>
        <w:tblLayout w:type="autofit"/>
        <w:tblCellMar>
          <w:top w:w="0" w:type="dxa"/>
          <w:left w:w="108" w:type="dxa"/>
          <w:bottom w:w="0" w:type="dxa"/>
          <w:right w:w="108" w:type="dxa"/>
        </w:tblCellMar>
      </w:tblPr>
      <w:tblGrid>
        <w:gridCol w:w="1523"/>
        <w:gridCol w:w="1110"/>
        <w:gridCol w:w="1320"/>
        <w:gridCol w:w="1050"/>
        <w:gridCol w:w="819"/>
        <w:gridCol w:w="2965"/>
      </w:tblGrid>
      <w:tr w14:paraId="74143E8A">
        <w:tblPrEx>
          <w:tblCellMar>
            <w:top w:w="0" w:type="dxa"/>
            <w:left w:w="108" w:type="dxa"/>
            <w:bottom w:w="0" w:type="dxa"/>
            <w:right w:w="108" w:type="dxa"/>
          </w:tblCellMar>
        </w:tblPrEx>
        <w:trPr>
          <w:trHeight w:val="482" w:hRule="atLeast"/>
          <w:tblHeader/>
        </w:trPr>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C6E33">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三级指标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C60BD">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目标值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7EDB5">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完成情况</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6F154">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完成率</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4DC51">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得分</w:t>
            </w:r>
          </w:p>
        </w:tc>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B6C4">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证据来源</w:t>
            </w:r>
          </w:p>
        </w:tc>
      </w:tr>
      <w:tr w14:paraId="5658175C">
        <w:tblPrEx>
          <w:tblCellMar>
            <w:top w:w="0" w:type="dxa"/>
            <w:left w:w="108" w:type="dxa"/>
            <w:bottom w:w="0" w:type="dxa"/>
            <w:right w:w="108" w:type="dxa"/>
          </w:tblCellMar>
        </w:tblPrEx>
        <w:trPr>
          <w:trHeight w:val="480" w:hRule="atLeast"/>
        </w:trPr>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01CF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居民规范化电子健康档案准确率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3C157">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与实际相符、符合逻辑</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CF462">
            <w:pPr>
              <w:widowControl/>
              <w:spacing w:line="0" w:lineRule="atLeast"/>
              <w:jc w:val="left"/>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与实际相符、符合逻辑</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81BE7">
            <w:pPr>
              <w:widowControl/>
              <w:spacing w:line="0" w:lineRule="atLeast"/>
              <w:jc w:val="left"/>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100%</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77FC">
            <w:pPr>
              <w:widowControl/>
              <w:spacing w:line="0" w:lineRule="atLeast"/>
              <w:jc w:val="left"/>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4.00 </w:t>
            </w:r>
          </w:p>
        </w:tc>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EDD2E">
            <w:pPr>
              <w:widowControl/>
              <w:spacing w:line="0" w:lineRule="atLeast"/>
              <w:jc w:val="left"/>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2022年省级基本公共卫生补助资金区域绩效目标表，国家基本公卫服务项目统计调查表、西塞山区汇总管理报表。情况说明</w:t>
            </w:r>
          </w:p>
        </w:tc>
      </w:tr>
      <w:tr w14:paraId="52EBB59E">
        <w:tblPrEx>
          <w:tblCellMar>
            <w:top w:w="0" w:type="dxa"/>
            <w:left w:w="108" w:type="dxa"/>
            <w:bottom w:w="0" w:type="dxa"/>
            <w:right w:w="108" w:type="dxa"/>
          </w:tblCellMar>
        </w:tblPrEx>
        <w:trPr>
          <w:trHeight w:val="480" w:hRule="atLeast"/>
        </w:trPr>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5029C">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严重精神障碍患者健康管理率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DA82">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目标管理率及面访率≥90%</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8A423">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管理率93.29%，面访率88.5%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DB6A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88.50%</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5A3CD">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3.70 </w:t>
            </w:r>
          </w:p>
        </w:tc>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9B5A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严重精神障碍管理治疗工作目标、2022年西塞山区严重精神障碍患者管理情况年报表</w:t>
            </w:r>
          </w:p>
        </w:tc>
      </w:tr>
      <w:tr w14:paraId="1AAAB0B5">
        <w:tblPrEx>
          <w:tblCellMar>
            <w:top w:w="0" w:type="dxa"/>
            <w:left w:w="108" w:type="dxa"/>
            <w:bottom w:w="0" w:type="dxa"/>
            <w:right w:w="108" w:type="dxa"/>
          </w:tblCellMar>
        </w:tblPrEx>
        <w:trPr>
          <w:trHeight w:val="480" w:hRule="atLeast"/>
        </w:trPr>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4D5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优质服务基层行目标完成情况</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A950B">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创建社区医院1家</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46E5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已创建1家</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99A94">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100%</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C0897">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4.00 </w:t>
            </w:r>
          </w:p>
        </w:tc>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2671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西塞山区卫健局2021年工作总结及2022年工作计划</w:t>
            </w:r>
          </w:p>
        </w:tc>
      </w:tr>
      <w:tr w14:paraId="15097747">
        <w:tblPrEx>
          <w:tblCellMar>
            <w:top w:w="0" w:type="dxa"/>
            <w:left w:w="108" w:type="dxa"/>
            <w:bottom w:w="0" w:type="dxa"/>
            <w:right w:w="108" w:type="dxa"/>
          </w:tblCellMar>
        </w:tblPrEx>
        <w:trPr>
          <w:trHeight w:val="719" w:hRule="atLeast"/>
        </w:trPr>
        <w:tc>
          <w:tcPr>
            <w:tcW w:w="500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149DC2F">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合计</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0B50B">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11.7</w:t>
            </w:r>
          </w:p>
        </w:tc>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E22CA">
            <w:pPr>
              <w:widowControl/>
              <w:spacing w:line="0" w:lineRule="atLeast"/>
              <w:jc w:val="left"/>
              <w:textAlignment w:val="center"/>
              <w:rPr>
                <w:rFonts w:ascii="仿宋" w:hAnsi="仿宋" w:eastAsia="仿宋" w:cs="仿宋"/>
                <w:kern w:val="0"/>
                <w:sz w:val="28"/>
                <w:szCs w:val="28"/>
                <w:lang w:bidi="ar"/>
              </w:rPr>
            </w:pPr>
          </w:p>
        </w:tc>
      </w:tr>
    </w:tbl>
    <w:p w14:paraId="273194BE">
      <w:pPr>
        <w:spacing w:line="560" w:lineRule="exact"/>
        <w:ind w:firstLine="632" w:firstLineChars="200"/>
        <w:rPr>
          <w:rFonts w:ascii="Times New Roman"/>
          <w:szCs w:val="32"/>
        </w:rPr>
      </w:pPr>
      <w:r>
        <w:rPr>
          <w:rFonts w:ascii="Times New Roman"/>
          <w:szCs w:val="32"/>
        </w:rPr>
        <w:t>本项标准分值1</w:t>
      </w:r>
      <w:r>
        <w:rPr>
          <w:rFonts w:hint="eastAsia" w:ascii="Times New Roman"/>
          <w:szCs w:val="32"/>
        </w:rPr>
        <w:t>2</w:t>
      </w:r>
      <w:r>
        <w:rPr>
          <w:rFonts w:ascii="Times New Roman"/>
          <w:szCs w:val="32"/>
        </w:rPr>
        <w:t>分，综合得分</w:t>
      </w:r>
      <w:r>
        <w:rPr>
          <w:rFonts w:hint="eastAsia" w:ascii="Times New Roman"/>
          <w:szCs w:val="32"/>
        </w:rPr>
        <w:t>11.7</w:t>
      </w:r>
      <w:r>
        <w:rPr>
          <w:rFonts w:ascii="Times New Roman"/>
          <w:szCs w:val="32"/>
        </w:rPr>
        <w:t>分。</w:t>
      </w:r>
    </w:p>
    <w:p w14:paraId="34240E79">
      <w:pPr>
        <w:pStyle w:val="5"/>
        <w:spacing w:line="560" w:lineRule="exact"/>
        <w:ind w:firstLine="632" w:firstLineChars="200"/>
        <w:rPr>
          <w:rFonts w:ascii="Times New Roman"/>
          <w:szCs w:val="32"/>
        </w:rPr>
      </w:pPr>
      <w:r>
        <w:rPr>
          <w:rFonts w:ascii="Times New Roman"/>
          <w:szCs w:val="32"/>
        </w:rPr>
        <w:t>（3）</w:t>
      </w:r>
      <w:r>
        <w:rPr>
          <w:rFonts w:hint="eastAsia" w:ascii="Times New Roman"/>
          <w:szCs w:val="32"/>
        </w:rPr>
        <w:t>时效</w:t>
      </w:r>
    </w:p>
    <w:p w14:paraId="664BFC71">
      <w:pPr>
        <w:spacing w:line="560" w:lineRule="exact"/>
        <w:ind w:firstLine="632" w:firstLineChars="200"/>
        <w:rPr>
          <w:rFonts w:ascii="Times New Roman"/>
          <w:szCs w:val="32"/>
        </w:rPr>
      </w:pPr>
      <w:r>
        <w:rPr>
          <w:rFonts w:ascii="Times New Roman"/>
          <w:szCs w:val="32"/>
        </w:rPr>
        <w:t>根据工作</w:t>
      </w:r>
      <w:r>
        <w:rPr>
          <w:rFonts w:hint="eastAsia" w:ascii="Times New Roman"/>
          <w:szCs w:val="32"/>
        </w:rPr>
        <w:t>时效</w:t>
      </w:r>
      <w:r>
        <w:rPr>
          <w:rFonts w:ascii="Times New Roman"/>
          <w:szCs w:val="32"/>
        </w:rPr>
        <w:t>目标，202</w:t>
      </w:r>
      <w:r>
        <w:rPr>
          <w:rFonts w:hint="eastAsia" w:ascii="Times New Roman"/>
          <w:szCs w:val="32"/>
        </w:rPr>
        <w:t>2</w:t>
      </w:r>
      <w:r>
        <w:rPr>
          <w:rFonts w:ascii="Times New Roman"/>
          <w:szCs w:val="32"/>
        </w:rPr>
        <w:t>年</w:t>
      </w:r>
      <w:r>
        <w:rPr>
          <w:rFonts w:hint="eastAsia" w:ascii="Times New Roman"/>
          <w:szCs w:val="32"/>
        </w:rPr>
        <w:t>西塞山区卫生健康局部门整体支出</w:t>
      </w:r>
      <w:r>
        <w:rPr>
          <w:rFonts w:ascii="Times New Roman"/>
          <w:szCs w:val="32"/>
        </w:rPr>
        <w:t>项目</w:t>
      </w:r>
      <w:r>
        <w:rPr>
          <w:rFonts w:hint="eastAsia" w:ascii="Times New Roman"/>
          <w:szCs w:val="32"/>
        </w:rPr>
        <w:t>时效</w:t>
      </w:r>
      <w:r>
        <w:rPr>
          <w:rFonts w:ascii="Times New Roman"/>
          <w:szCs w:val="32"/>
        </w:rPr>
        <w:t>指标全部完成，具体见下表：</w:t>
      </w:r>
    </w:p>
    <w:tbl>
      <w:tblPr>
        <w:tblStyle w:val="13"/>
        <w:tblW w:w="8768" w:type="dxa"/>
        <w:tblInd w:w="91" w:type="dxa"/>
        <w:tblLayout w:type="fixed"/>
        <w:tblCellMar>
          <w:top w:w="0" w:type="dxa"/>
          <w:left w:w="108" w:type="dxa"/>
          <w:bottom w:w="0" w:type="dxa"/>
          <w:right w:w="108" w:type="dxa"/>
        </w:tblCellMar>
      </w:tblPr>
      <w:tblGrid>
        <w:gridCol w:w="2074"/>
        <w:gridCol w:w="1941"/>
        <w:gridCol w:w="915"/>
        <w:gridCol w:w="1005"/>
        <w:gridCol w:w="660"/>
        <w:gridCol w:w="2173"/>
      </w:tblGrid>
      <w:tr w14:paraId="3938140E">
        <w:tblPrEx>
          <w:tblCellMar>
            <w:top w:w="0" w:type="dxa"/>
            <w:left w:w="108" w:type="dxa"/>
            <w:bottom w:w="0" w:type="dxa"/>
            <w:right w:w="108" w:type="dxa"/>
          </w:tblCellMar>
        </w:tblPrEx>
        <w:trPr>
          <w:trHeight w:val="482" w:hRule="atLeast"/>
          <w:tblHeader/>
        </w:trPr>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055A4">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三级指标</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23F35">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目标值</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FAACC">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完成情况</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82615">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完成率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9C287">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得分</w:t>
            </w: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89926">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证据来源</w:t>
            </w:r>
          </w:p>
        </w:tc>
      </w:tr>
      <w:tr w14:paraId="5ADA0A9A">
        <w:tblPrEx>
          <w:tblCellMar>
            <w:top w:w="0" w:type="dxa"/>
            <w:left w:w="108" w:type="dxa"/>
            <w:bottom w:w="0" w:type="dxa"/>
            <w:right w:w="108" w:type="dxa"/>
          </w:tblCellMar>
        </w:tblPrEx>
        <w:trPr>
          <w:trHeight w:val="480" w:hRule="atLeast"/>
        </w:trPr>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64157">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学生常见病监测任务完成率</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581CB">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定期进行学生觉病监测</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124C2">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定期进行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0269">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100%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5717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F2E9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2022年西塞山区学生常见病监测结果报告</w:t>
            </w:r>
          </w:p>
        </w:tc>
      </w:tr>
      <w:tr w14:paraId="759EB6B2">
        <w:tblPrEx>
          <w:tblCellMar>
            <w:top w:w="0" w:type="dxa"/>
            <w:left w:w="108" w:type="dxa"/>
            <w:bottom w:w="0" w:type="dxa"/>
            <w:right w:w="108" w:type="dxa"/>
          </w:tblCellMar>
        </w:tblPrEx>
        <w:trPr>
          <w:trHeight w:val="480" w:hRule="atLeast"/>
        </w:trPr>
        <w:tc>
          <w:tcPr>
            <w:tcW w:w="2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89F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传染病和突发公共卫生事件报告率</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9ADC8">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登记或网络报告的传染病疫情及时上报</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C9338">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及时上报</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8A2B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100%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F204">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F4B7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传染病及突发公共卫生事件管理报表</w:t>
            </w:r>
          </w:p>
        </w:tc>
      </w:tr>
      <w:tr w14:paraId="60169D98">
        <w:tblPrEx>
          <w:tblCellMar>
            <w:top w:w="0" w:type="dxa"/>
            <w:left w:w="108" w:type="dxa"/>
            <w:bottom w:w="0" w:type="dxa"/>
            <w:right w:w="108" w:type="dxa"/>
          </w:tblCellMar>
        </w:tblPrEx>
        <w:trPr>
          <w:trHeight w:val="619" w:hRule="atLeast"/>
        </w:trPr>
        <w:tc>
          <w:tcPr>
            <w:tcW w:w="5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D3B9C8">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合计</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B15E2">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6</w:t>
            </w:r>
          </w:p>
        </w:tc>
        <w:tc>
          <w:tcPr>
            <w:tcW w:w="21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34BFA">
            <w:pPr>
              <w:widowControl/>
              <w:spacing w:line="0" w:lineRule="atLeast"/>
              <w:jc w:val="left"/>
              <w:textAlignment w:val="center"/>
              <w:rPr>
                <w:rFonts w:ascii="仿宋" w:hAnsi="仿宋" w:eastAsia="仿宋" w:cs="仿宋"/>
                <w:kern w:val="0"/>
                <w:sz w:val="28"/>
                <w:szCs w:val="28"/>
                <w:lang w:bidi="ar"/>
              </w:rPr>
            </w:pPr>
          </w:p>
        </w:tc>
      </w:tr>
    </w:tbl>
    <w:p w14:paraId="5EA8C003">
      <w:pPr>
        <w:spacing w:line="560" w:lineRule="exact"/>
        <w:ind w:firstLine="632" w:firstLineChars="200"/>
        <w:rPr>
          <w:rFonts w:ascii="Times New Roman"/>
          <w:szCs w:val="32"/>
        </w:rPr>
      </w:pPr>
      <w:r>
        <w:rPr>
          <w:rFonts w:ascii="Times New Roman"/>
          <w:szCs w:val="32"/>
        </w:rPr>
        <w:t>本项标准分值</w:t>
      </w:r>
      <w:r>
        <w:rPr>
          <w:rFonts w:hint="eastAsia" w:ascii="Times New Roman"/>
          <w:szCs w:val="32"/>
        </w:rPr>
        <w:t>6</w:t>
      </w:r>
      <w:r>
        <w:rPr>
          <w:rFonts w:ascii="Times New Roman"/>
          <w:szCs w:val="32"/>
        </w:rPr>
        <w:t>分，综合得分</w:t>
      </w:r>
      <w:r>
        <w:rPr>
          <w:rFonts w:hint="eastAsia" w:ascii="Times New Roman"/>
          <w:szCs w:val="32"/>
        </w:rPr>
        <w:t>6</w:t>
      </w:r>
      <w:r>
        <w:rPr>
          <w:rFonts w:ascii="Times New Roman"/>
          <w:szCs w:val="32"/>
        </w:rPr>
        <w:t>分。</w:t>
      </w:r>
    </w:p>
    <w:p w14:paraId="0ADB0D3B">
      <w:pPr>
        <w:pStyle w:val="10"/>
        <w:numPr>
          <w:ilvl w:val="0"/>
          <w:numId w:val="9"/>
        </w:numPr>
        <w:ind w:firstLine="632" w:firstLineChars="200"/>
        <w:rPr>
          <w:rFonts w:ascii="Times New Roman"/>
          <w:b w:val="0"/>
          <w:bCs/>
          <w:szCs w:val="32"/>
        </w:rPr>
      </w:pPr>
      <w:r>
        <w:rPr>
          <w:rFonts w:hint="eastAsia" w:ascii="Times New Roman"/>
          <w:b w:val="0"/>
          <w:bCs/>
          <w:szCs w:val="32"/>
        </w:rPr>
        <w:t>成本</w:t>
      </w:r>
    </w:p>
    <w:p w14:paraId="1097579E">
      <w:pPr>
        <w:spacing w:line="560" w:lineRule="exact"/>
        <w:ind w:firstLine="632" w:firstLineChars="200"/>
        <w:rPr>
          <w:rFonts w:ascii="Times New Roman"/>
          <w:szCs w:val="32"/>
        </w:rPr>
      </w:pPr>
      <w:r>
        <w:rPr>
          <w:rFonts w:ascii="Times New Roman"/>
          <w:szCs w:val="32"/>
        </w:rPr>
        <w:t>根据</w:t>
      </w:r>
      <w:r>
        <w:rPr>
          <w:rFonts w:hint="eastAsia" w:ascii="Times New Roman"/>
          <w:szCs w:val="32"/>
        </w:rPr>
        <w:t>成本</w:t>
      </w:r>
      <w:r>
        <w:rPr>
          <w:rFonts w:ascii="Times New Roman"/>
          <w:szCs w:val="32"/>
        </w:rPr>
        <w:t>目标，202</w:t>
      </w:r>
      <w:r>
        <w:rPr>
          <w:rFonts w:hint="eastAsia" w:ascii="Times New Roman"/>
          <w:szCs w:val="32"/>
        </w:rPr>
        <w:t>2</w:t>
      </w:r>
      <w:r>
        <w:rPr>
          <w:rFonts w:ascii="Times New Roman"/>
          <w:szCs w:val="32"/>
        </w:rPr>
        <w:t>年</w:t>
      </w:r>
      <w:r>
        <w:rPr>
          <w:rFonts w:hint="eastAsia" w:ascii="Times New Roman"/>
          <w:szCs w:val="32"/>
        </w:rPr>
        <w:t>西塞山区卫生健康局部门整体支出</w:t>
      </w:r>
      <w:r>
        <w:rPr>
          <w:rFonts w:ascii="Times New Roman"/>
          <w:szCs w:val="32"/>
        </w:rPr>
        <w:t>项目</w:t>
      </w:r>
      <w:r>
        <w:rPr>
          <w:rFonts w:hint="eastAsia" w:ascii="Times New Roman"/>
          <w:szCs w:val="32"/>
        </w:rPr>
        <w:t>成本</w:t>
      </w:r>
      <w:r>
        <w:rPr>
          <w:rFonts w:ascii="Times New Roman"/>
          <w:szCs w:val="32"/>
        </w:rPr>
        <w:t>指标全部完成，具体见下表：</w:t>
      </w:r>
    </w:p>
    <w:tbl>
      <w:tblPr>
        <w:tblStyle w:val="13"/>
        <w:tblW w:w="8768" w:type="dxa"/>
        <w:tblInd w:w="91" w:type="dxa"/>
        <w:tblLayout w:type="fixed"/>
        <w:tblCellMar>
          <w:top w:w="0" w:type="dxa"/>
          <w:left w:w="108" w:type="dxa"/>
          <w:bottom w:w="0" w:type="dxa"/>
          <w:right w:w="108" w:type="dxa"/>
        </w:tblCellMar>
      </w:tblPr>
      <w:tblGrid>
        <w:gridCol w:w="1661"/>
        <w:gridCol w:w="2160"/>
        <w:gridCol w:w="840"/>
        <w:gridCol w:w="900"/>
        <w:gridCol w:w="614"/>
        <w:gridCol w:w="2593"/>
      </w:tblGrid>
      <w:tr w14:paraId="46E84D4C">
        <w:tblPrEx>
          <w:tblCellMar>
            <w:top w:w="0" w:type="dxa"/>
            <w:left w:w="108" w:type="dxa"/>
            <w:bottom w:w="0" w:type="dxa"/>
            <w:right w:w="108" w:type="dxa"/>
          </w:tblCellMar>
        </w:tblPrEx>
        <w:trPr>
          <w:trHeight w:val="482" w:hRule="atLeast"/>
          <w:tblHeader/>
        </w:trPr>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9114E">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三级指标</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9AD10">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目标值</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0FC7B">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完成情况</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2C0F8">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完成率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1AC1C">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得分</w:t>
            </w:r>
          </w:p>
        </w:tc>
        <w:tc>
          <w:tcPr>
            <w:tcW w:w="25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462A0">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证据来源</w:t>
            </w:r>
          </w:p>
        </w:tc>
      </w:tr>
      <w:tr w14:paraId="32A0589D">
        <w:tblPrEx>
          <w:tblCellMar>
            <w:top w:w="0" w:type="dxa"/>
            <w:left w:w="108" w:type="dxa"/>
            <w:bottom w:w="0" w:type="dxa"/>
            <w:right w:w="108" w:type="dxa"/>
          </w:tblCellMar>
        </w:tblPrEx>
        <w:trPr>
          <w:trHeight w:val="480" w:hRule="atLeast"/>
        </w:trPr>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3DC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城镇独生子女保健费按标准发放</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15EC7">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从领证之月起至独生子女满14周岁止，每月发给不低于10元或者一次性发给不低于1500元的独生子女保健费</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DBD74">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按标准发放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9D7B8">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579BF">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25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6E4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湖北省人口与计划生育条例，西塞山区2022年独生子女保健费汇总表</w:t>
            </w:r>
          </w:p>
        </w:tc>
      </w:tr>
      <w:tr w14:paraId="03D3ECB4">
        <w:tblPrEx>
          <w:tblCellMar>
            <w:top w:w="0" w:type="dxa"/>
            <w:left w:w="108" w:type="dxa"/>
            <w:bottom w:w="0" w:type="dxa"/>
            <w:right w:w="108" w:type="dxa"/>
          </w:tblCellMar>
        </w:tblPrEx>
        <w:trPr>
          <w:trHeight w:val="480" w:hRule="atLeast"/>
        </w:trPr>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4544E">
            <w:pPr>
              <w:widowControl/>
              <w:spacing w:line="0" w:lineRule="atLeast"/>
              <w:jc w:val="center"/>
              <w:textAlignment w:val="center"/>
              <w:rPr>
                <w:rFonts w:ascii="宋体" w:hAnsi="宋体" w:eastAsia="宋体" w:cs="宋体"/>
                <w:kern w:val="0"/>
                <w:sz w:val="28"/>
                <w:szCs w:val="28"/>
                <w:lang w:bidi="ar"/>
              </w:rPr>
            </w:pPr>
            <w:r>
              <w:rPr>
                <w:rFonts w:hint="eastAsia" w:ascii="仿宋" w:hAnsi="仿宋" w:eastAsia="仿宋" w:cs="仿宋"/>
                <w:kern w:val="0"/>
                <w:sz w:val="28"/>
                <w:szCs w:val="28"/>
                <w:lang w:bidi="ar"/>
              </w:rPr>
              <w:t>独生子女死亡一次性抚慰金按标准发放</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302F0">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每户10000元（未再生育或收养的独生子女父母双方每人各5000元）</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4796C">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按标准发放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2DB9C">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FAC10">
            <w:pPr>
              <w:widowControl/>
              <w:spacing w:line="0" w:lineRule="atLeast"/>
              <w:jc w:val="center"/>
              <w:textAlignment w:val="center"/>
              <w:rPr>
                <w:rFonts w:ascii="宋体" w:hAnsi="宋体" w:eastAsia="宋体" w:cs="宋体"/>
                <w:kern w:val="0"/>
                <w:sz w:val="28"/>
                <w:szCs w:val="28"/>
                <w:lang w:bidi="ar"/>
              </w:rPr>
            </w:pPr>
            <w:r>
              <w:rPr>
                <w:rFonts w:hint="eastAsia" w:ascii="仿宋" w:hAnsi="仿宋" w:eastAsia="仿宋" w:cs="仿宋"/>
                <w:kern w:val="0"/>
                <w:sz w:val="28"/>
                <w:szCs w:val="28"/>
                <w:lang w:bidi="ar"/>
              </w:rPr>
              <w:t>3</w:t>
            </w:r>
          </w:p>
        </w:tc>
        <w:tc>
          <w:tcPr>
            <w:tcW w:w="25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8CB17">
            <w:pPr>
              <w:widowControl/>
              <w:spacing w:line="0" w:lineRule="atLeast"/>
              <w:jc w:val="center"/>
              <w:textAlignment w:val="center"/>
              <w:rPr>
                <w:rFonts w:ascii="宋体" w:hAnsi="宋体" w:eastAsia="宋体" w:cs="宋体"/>
                <w:kern w:val="0"/>
                <w:sz w:val="28"/>
                <w:szCs w:val="28"/>
                <w:lang w:bidi="ar"/>
              </w:rPr>
            </w:pPr>
            <w:r>
              <w:rPr>
                <w:rFonts w:hint="eastAsia" w:ascii="仿宋" w:hAnsi="仿宋" w:eastAsia="仿宋" w:cs="仿宋"/>
                <w:kern w:val="0"/>
                <w:sz w:val="28"/>
                <w:szCs w:val="28"/>
                <w:lang w:bidi="ar"/>
              </w:rPr>
              <w:t>鄂卫生计生通【2016】3号，独生子女死亡的计划生育特殊家庭一次性抚慰金发放目标人群统计表，2022年计划生育新增失独人员一次性抚慰金发放明细表</w:t>
            </w:r>
          </w:p>
        </w:tc>
      </w:tr>
      <w:tr w14:paraId="6C1F498A">
        <w:tblPrEx>
          <w:tblCellMar>
            <w:top w:w="0" w:type="dxa"/>
            <w:left w:w="108" w:type="dxa"/>
            <w:bottom w:w="0" w:type="dxa"/>
            <w:right w:w="108" w:type="dxa"/>
          </w:tblCellMar>
        </w:tblPrEx>
        <w:trPr>
          <w:trHeight w:val="480" w:hRule="atLeast"/>
        </w:trPr>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C6378">
            <w:pPr>
              <w:widowControl/>
              <w:spacing w:line="0" w:lineRule="atLeast"/>
              <w:jc w:val="center"/>
              <w:textAlignment w:val="center"/>
              <w:rPr>
                <w:rFonts w:ascii="宋体" w:hAnsi="宋体" w:eastAsia="宋体" w:cs="宋体"/>
                <w:kern w:val="0"/>
                <w:sz w:val="28"/>
                <w:szCs w:val="28"/>
                <w:lang w:bidi="ar"/>
              </w:rPr>
            </w:pPr>
            <w:r>
              <w:rPr>
                <w:rFonts w:hint="eastAsia" w:ascii="仿宋" w:hAnsi="仿宋" w:eastAsia="仿宋" w:cs="仿宋"/>
                <w:kern w:val="0"/>
                <w:sz w:val="28"/>
                <w:szCs w:val="28"/>
                <w:lang w:bidi="ar"/>
              </w:rPr>
              <w:t>到龄离岗乡村医生生活补助按标准发放</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E7A1">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标准不超过2000元/人/年</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30133">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按标准发放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E914">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77F28">
            <w:pPr>
              <w:widowControl/>
              <w:spacing w:line="0" w:lineRule="atLeast"/>
              <w:jc w:val="center"/>
              <w:textAlignment w:val="center"/>
              <w:rPr>
                <w:rFonts w:ascii="宋体" w:hAnsi="宋体" w:eastAsia="宋体" w:cs="宋体"/>
                <w:kern w:val="0"/>
                <w:sz w:val="28"/>
                <w:szCs w:val="28"/>
                <w:lang w:bidi="ar"/>
              </w:rPr>
            </w:pPr>
            <w:r>
              <w:rPr>
                <w:rFonts w:hint="eastAsia" w:ascii="仿宋" w:hAnsi="仿宋" w:eastAsia="仿宋" w:cs="仿宋"/>
                <w:kern w:val="0"/>
                <w:sz w:val="28"/>
                <w:szCs w:val="28"/>
                <w:lang w:bidi="ar"/>
              </w:rPr>
              <w:t xml:space="preserve">3 </w:t>
            </w:r>
          </w:p>
        </w:tc>
        <w:tc>
          <w:tcPr>
            <w:tcW w:w="25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5E1AB">
            <w:pPr>
              <w:widowControl/>
              <w:spacing w:line="0" w:lineRule="atLeast"/>
              <w:jc w:val="center"/>
              <w:textAlignment w:val="center"/>
              <w:rPr>
                <w:rFonts w:ascii="宋体" w:hAnsi="宋体" w:eastAsia="宋体" w:cs="宋体"/>
                <w:kern w:val="0"/>
                <w:sz w:val="28"/>
                <w:szCs w:val="28"/>
                <w:lang w:bidi="ar"/>
              </w:rPr>
            </w:pPr>
            <w:r>
              <w:rPr>
                <w:rFonts w:hint="eastAsia" w:ascii="仿宋" w:hAnsi="仿宋" w:eastAsia="仿宋" w:cs="仿宋"/>
                <w:kern w:val="0"/>
                <w:sz w:val="28"/>
                <w:szCs w:val="28"/>
                <w:lang w:bidi="ar"/>
              </w:rPr>
              <w:t>西卫发【2020】21号、发放资格审批表、发放统计表</w:t>
            </w:r>
          </w:p>
        </w:tc>
      </w:tr>
      <w:tr w14:paraId="0371A455">
        <w:tblPrEx>
          <w:tblCellMar>
            <w:top w:w="0" w:type="dxa"/>
            <w:left w:w="108" w:type="dxa"/>
            <w:bottom w:w="0" w:type="dxa"/>
            <w:right w:w="108" w:type="dxa"/>
          </w:tblCellMar>
        </w:tblPrEx>
        <w:trPr>
          <w:trHeight w:val="480" w:hRule="atLeast"/>
        </w:trPr>
        <w:tc>
          <w:tcPr>
            <w:tcW w:w="1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52CF8">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在岗乡村医生养老补助按标准发放</w:t>
            </w:r>
          </w:p>
        </w:tc>
        <w:tc>
          <w:tcPr>
            <w:tcW w:w="21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AE70E">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标准为：工龄满10年按200元/人/月，工龄满10年后，每增加一年递加10元/月，最高不超过500元/月</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EF06E">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按标准发放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A9ED4">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BEFF3">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3</w:t>
            </w:r>
          </w:p>
        </w:tc>
        <w:tc>
          <w:tcPr>
            <w:tcW w:w="25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11B4F">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西卫发【2020】22号、发放资格审批表、发放统计表</w:t>
            </w:r>
          </w:p>
        </w:tc>
      </w:tr>
      <w:tr w14:paraId="7DA3A6F1">
        <w:tblPrEx>
          <w:tblCellMar>
            <w:top w:w="0" w:type="dxa"/>
            <w:left w:w="108" w:type="dxa"/>
            <w:bottom w:w="0" w:type="dxa"/>
            <w:right w:w="108" w:type="dxa"/>
          </w:tblCellMar>
        </w:tblPrEx>
        <w:trPr>
          <w:trHeight w:val="435" w:hRule="atLeast"/>
        </w:trPr>
        <w:tc>
          <w:tcPr>
            <w:tcW w:w="55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BA0375">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合计</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36A49">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12</w:t>
            </w:r>
          </w:p>
        </w:tc>
        <w:tc>
          <w:tcPr>
            <w:tcW w:w="25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130A2">
            <w:pPr>
              <w:widowControl/>
              <w:spacing w:line="0" w:lineRule="atLeast"/>
              <w:jc w:val="left"/>
              <w:textAlignment w:val="center"/>
              <w:rPr>
                <w:rFonts w:ascii="仿宋" w:hAnsi="仿宋" w:eastAsia="仿宋" w:cs="仿宋"/>
                <w:kern w:val="0"/>
                <w:sz w:val="28"/>
                <w:szCs w:val="28"/>
                <w:lang w:bidi="ar"/>
              </w:rPr>
            </w:pPr>
          </w:p>
        </w:tc>
      </w:tr>
    </w:tbl>
    <w:p w14:paraId="0A486191">
      <w:pPr>
        <w:spacing w:line="560" w:lineRule="exact"/>
        <w:ind w:firstLine="632" w:firstLineChars="200"/>
        <w:rPr>
          <w:rFonts w:ascii="Times New Roman"/>
          <w:szCs w:val="32"/>
        </w:rPr>
      </w:pPr>
      <w:r>
        <w:rPr>
          <w:rFonts w:ascii="Times New Roman"/>
          <w:szCs w:val="32"/>
        </w:rPr>
        <w:t>本项标准分值</w:t>
      </w:r>
      <w:r>
        <w:rPr>
          <w:rFonts w:hint="eastAsia" w:ascii="Times New Roman"/>
          <w:szCs w:val="32"/>
        </w:rPr>
        <w:t>12</w:t>
      </w:r>
      <w:r>
        <w:rPr>
          <w:rFonts w:ascii="Times New Roman"/>
          <w:szCs w:val="32"/>
        </w:rPr>
        <w:t>分，综合得分</w:t>
      </w:r>
      <w:r>
        <w:rPr>
          <w:rFonts w:hint="eastAsia" w:ascii="Times New Roman"/>
          <w:szCs w:val="32"/>
        </w:rPr>
        <w:t>12</w:t>
      </w:r>
      <w:r>
        <w:rPr>
          <w:rFonts w:ascii="Times New Roman"/>
          <w:szCs w:val="32"/>
        </w:rPr>
        <w:t>分。</w:t>
      </w:r>
    </w:p>
    <w:p w14:paraId="15D3AE74">
      <w:pPr>
        <w:pStyle w:val="4"/>
        <w:spacing w:line="560" w:lineRule="exact"/>
        <w:ind w:firstLine="633"/>
        <w:rPr>
          <w:rFonts w:ascii="Times New Roman" w:hAnsi="Times New Roman"/>
          <w:sz w:val="32"/>
          <w:szCs w:val="36"/>
        </w:rPr>
      </w:pPr>
      <w:r>
        <w:rPr>
          <w:rFonts w:ascii="Times New Roman" w:hAnsi="Times New Roman"/>
          <w:sz w:val="32"/>
          <w:szCs w:val="36"/>
        </w:rPr>
        <w:t>4、</w:t>
      </w:r>
      <w:r>
        <w:rPr>
          <w:rFonts w:hint="eastAsia" w:ascii="Times New Roman" w:hAnsi="Times New Roman"/>
          <w:sz w:val="32"/>
          <w:szCs w:val="36"/>
        </w:rPr>
        <w:t>社会效应指标完成情况详细分析</w:t>
      </w:r>
    </w:p>
    <w:p w14:paraId="74D84326">
      <w:pPr>
        <w:spacing w:line="560" w:lineRule="exact"/>
        <w:ind w:firstLine="632" w:firstLineChars="200"/>
        <w:rPr>
          <w:rFonts w:ascii="Times New Roman"/>
          <w:szCs w:val="32"/>
        </w:rPr>
      </w:pPr>
      <w:r>
        <w:rPr>
          <w:rFonts w:ascii="Times New Roman"/>
          <w:szCs w:val="32"/>
        </w:rPr>
        <w:t>根据</w:t>
      </w:r>
      <w:r>
        <w:rPr>
          <w:rFonts w:hint="eastAsia" w:ascii="Times New Roman"/>
          <w:szCs w:val="32"/>
        </w:rPr>
        <w:t>社会效应</w:t>
      </w:r>
      <w:r>
        <w:rPr>
          <w:rFonts w:ascii="Times New Roman"/>
          <w:szCs w:val="32"/>
        </w:rPr>
        <w:t>目标，202</w:t>
      </w:r>
      <w:r>
        <w:rPr>
          <w:rFonts w:hint="eastAsia" w:ascii="Times New Roman"/>
          <w:szCs w:val="32"/>
        </w:rPr>
        <w:t>2</w:t>
      </w:r>
      <w:r>
        <w:rPr>
          <w:rFonts w:ascii="Times New Roman"/>
          <w:szCs w:val="32"/>
        </w:rPr>
        <w:t>年</w:t>
      </w:r>
      <w:r>
        <w:rPr>
          <w:rFonts w:hint="eastAsia" w:ascii="Times New Roman"/>
          <w:szCs w:val="32"/>
        </w:rPr>
        <w:t>西塞山区卫生健康局部门整体支出社会效应</w:t>
      </w:r>
      <w:r>
        <w:rPr>
          <w:rFonts w:ascii="Times New Roman"/>
          <w:szCs w:val="32"/>
        </w:rPr>
        <w:t>指标全部完成，具体见下表：</w:t>
      </w:r>
    </w:p>
    <w:bookmarkEnd w:id="10"/>
    <w:tbl>
      <w:tblPr>
        <w:tblStyle w:val="13"/>
        <w:tblW w:w="8777" w:type="dxa"/>
        <w:tblInd w:w="91" w:type="dxa"/>
        <w:tblLayout w:type="autofit"/>
        <w:tblCellMar>
          <w:top w:w="0" w:type="dxa"/>
          <w:left w:w="108" w:type="dxa"/>
          <w:bottom w:w="0" w:type="dxa"/>
          <w:right w:w="108" w:type="dxa"/>
        </w:tblCellMar>
      </w:tblPr>
      <w:tblGrid>
        <w:gridCol w:w="1076"/>
        <w:gridCol w:w="1635"/>
        <w:gridCol w:w="1799"/>
        <w:gridCol w:w="870"/>
        <w:gridCol w:w="541"/>
        <w:gridCol w:w="2856"/>
      </w:tblGrid>
      <w:tr w14:paraId="727F1209">
        <w:tblPrEx>
          <w:tblCellMar>
            <w:top w:w="0" w:type="dxa"/>
            <w:left w:w="108" w:type="dxa"/>
            <w:bottom w:w="0" w:type="dxa"/>
            <w:right w:w="108" w:type="dxa"/>
          </w:tblCellMar>
        </w:tblPrEx>
        <w:trPr>
          <w:trHeight w:val="482" w:hRule="atLeast"/>
          <w:tblHeader/>
        </w:trPr>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4ECB0">
            <w:pPr>
              <w:widowControl/>
              <w:spacing w:line="0" w:lineRule="atLeast"/>
              <w:jc w:val="center"/>
              <w:textAlignment w:val="center"/>
              <w:rPr>
                <w:rFonts w:ascii="仿宋" w:hAnsi="仿宋" w:eastAsia="仿宋" w:cs="仿宋"/>
                <w:kern w:val="0"/>
                <w:sz w:val="28"/>
                <w:szCs w:val="28"/>
                <w:lang w:bidi="ar"/>
              </w:rPr>
            </w:pPr>
            <w:bookmarkStart w:id="12" w:name="_Toc40281676"/>
            <w:r>
              <w:rPr>
                <w:rFonts w:hint="eastAsia" w:ascii="仿宋" w:hAnsi="仿宋" w:eastAsia="仿宋" w:cs="仿宋"/>
                <w:kern w:val="0"/>
                <w:sz w:val="28"/>
                <w:szCs w:val="28"/>
                <w:lang w:bidi="ar"/>
              </w:rPr>
              <w:t>三级指标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8D45C">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目标值</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9EA4">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完成情况</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DF5E3">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完成率</w:t>
            </w:r>
          </w:p>
        </w:tc>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EC60D">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得分</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D097">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证据来源</w:t>
            </w:r>
          </w:p>
        </w:tc>
      </w:tr>
      <w:tr w14:paraId="09A92E7A">
        <w:tblPrEx>
          <w:tblCellMar>
            <w:top w:w="0" w:type="dxa"/>
            <w:left w:w="108" w:type="dxa"/>
            <w:bottom w:w="0" w:type="dxa"/>
            <w:right w:w="108" w:type="dxa"/>
          </w:tblCellMar>
        </w:tblPrEx>
        <w:trPr>
          <w:trHeight w:val="480" w:hRule="atLeast"/>
        </w:trPr>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3D3AA">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健康教育与健康促进</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BE5EB">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持续健康教育宣传，普及健康知识</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034F3">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有进行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C1A2F">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100%</w:t>
            </w:r>
          </w:p>
        </w:tc>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530A0">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742C5">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相关宣传活动文件及照片，2022年健康教育工作小结</w:t>
            </w:r>
          </w:p>
        </w:tc>
      </w:tr>
      <w:tr w14:paraId="44C8064C">
        <w:tblPrEx>
          <w:tblCellMar>
            <w:top w:w="0" w:type="dxa"/>
            <w:left w:w="108" w:type="dxa"/>
            <w:bottom w:w="0" w:type="dxa"/>
            <w:right w:w="108" w:type="dxa"/>
          </w:tblCellMar>
        </w:tblPrEx>
        <w:trPr>
          <w:trHeight w:val="720" w:hRule="atLeast"/>
        </w:trPr>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8A68F">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居民健康素养水平</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A842E">
            <w:pPr>
              <w:widowControl/>
              <w:spacing w:line="0" w:lineRule="atLeast"/>
              <w:jc w:val="left"/>
              <w:textAlignment w:val="center"/>
              <w:rPr>
                <w:rFonts w:ascii="仿宋" w:hAnsi="仿宋" w:eastAsia="仿宋" w:cs="仿宋"/>
                <w:sz w:val="28"/>
                <w:szCs w:val="28"/>
              </w:rPr>
            </w:pPr>
            <w:r>
              <w:rPr>
                <w:rFonts w:hint="eastAsia" w:ascii="仿宋" w:hAnsi="仿宋" w:eastAsia="仿宋" w:cs="仿宋"/>
                <w:kern w:val="0"/>
                <w:sz w:val="28"/>
                <w:szCs w:val="28"/>
                <w:lang w:bidi="ar"/>
              </w:rPr>
              <w:t>不断提高</w:t>
            </w:r>
          </w:p>
        </w:tc>
        <w:tc>
          <w:tcPr>
            <w:tcW w:w="1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DB673">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2021年26.28%，2022年30.42%，有提高</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D162B">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100%</w:t>
            </w:r>
          </w:p>
        </w:tc>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858E6">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 xml:space="preserve">3 </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741E8">
            <w:pPr>
              <w:widowControl/>
              <w:spacing w:line="0" w:lineRule="atLeast"/>
              <w:jc w:val="center"/>
              <w:textAlignment w:val="center"/>
              <w:rPr>
                <w:rFonts w:ascii="仿宋" w:hAnsi="仿宋" w:eastAsia="仿宋" w:cs="仿宋"/>
                <w:sz w:val="28"/>
                <w:szCs w:val="28"/>
              </w:rPr>
            </w:pPr>
            <w:r>
              <w:rPr>
                <w:rFonts w:hint="eastAsia" w:ascii="仿宋" w:hAnsi="仿宋" w:eastAsia="仿宋" w:cs="仿宋"/>
                <w:kern w:val="0"/>
                <w:sz w:val="28"/>
                <w:szCs w:val="28"/>
                <w:lang w:bidi="ar"/>
              </w:rPr>
              <w:t>2021年西塞山区居民健康素养监测报告，2022年西塞山区居民健康素养监测报告</w:t>
            </w:r>
          </w:p>
        </w:tc>
      </w:tr>
      <w:tr w14:paraId="7204F0DD">
        <w:tblPrEx>
          <w:tblCellMar>
            <w:top w:w="0" w:type="dxa"/>
            <w:left w:w="108" w:type="dxa"/>
            <w:bottom w:w="0" w:type="dxa"/>
            <w:right w:w="108" w:type="dxa"/>
          </w:tblCellMar>
        </w:tblPrEx>
        <w:trPr>
          <w:trHeight w:val="480" w:hRule="atLeast"/>
        </w:trPr>
        <w:tc>
          <w:tcPr>
            <w:tcW w:w="5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8A6611C">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合计</w:t>
            </w:r>
          </w:p>
        </w:tc>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83E4C">
            <w:pPr>
              <w:widowControl/>
              <w:spacing w:line="0" w:lineRule="atLeast"/>
              <w:jc w:val="center"/>
              <w:textAlignment w:val="center"/>
              <w:rPr>
                <w:rFonts w:ascii="仿宋" w:hAnsi="仿宋" w:eastAsia="仿宋" w:cs="仿宋"/>
                <w:kern w:val="0"/>
                <w:sz w:val="28"/>
                <w:szCs w:val="28"/>
                <w:lang w:bidi="ar"/>
              </w:rPr>
            </w:pPr>
            <w:r>
              <w:rPr>
                <w:rFonts w:hint="eastAsia" w:ascii="仿宋" w:hAnsi="仿宋" w:eastAsia="仿宋" w:cs="仿宋"/>
                <w:kern w:val="0"/>
                <w:sz w:val="28"/>
                <w:szCs w:val="28"/>
                <w:lang w:bidi="ar"/>
              </w:rPr>
              <w:t>6</w:t>
            </w:r>
          </w:p>
        </w:tc>
        <w:tc>
          <w:tcPr>
            <w:tcW w:w="28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ABC42">
            <w:pPr>
              <w:widowControl/>
              <w:spacing w:line="0" w:lineRule="atLeast"/>
              <w:jc w:val="left"/>
              <w:textAlignment w:val="center"/>
              <w:rPr>
                <w:rFonts w:ascii="仿宋" w:hAnsi="仿宋" w:eastAsia="仿宋" w:cs="仿宋"/>
                <w:kern w:val="0"/>
                <w:sz w:val="28"/>
                <w:szCs w:val="28"/>
                <w:lang w:bidi="ar"/>
              </w:rPr>
            </w:pPr>
          </w:p>
        </w:tc>
      </w:tr>
    </w:tbl>
    <w:p w14:paraId="429933AA">
      <w:pPr>
        <w:spacing w:line="560" w:lineRule="exact"/>
        <w:ind w:firstLine="632" w:firstLineChars="200"/>
        <w:rPr>
          <w:rFonts w:ascii="Times New Roman"/>
          <w:b/>
          <w:bCs/>
        </w:rPr>
      </w:pPr>
      <w:r>
        <w:rPr>
          <w:rFonts w:ascii="Times New Roman"/>
          <w:szCs w:val="32"/>
        </w:rPr>
        <w:t>本项标准分值</w:t>
      </w:r>
      <w:r>
        <w:rPr>
          <w:rFonts w:hint="eastAsia" w:ascii="Times New Roman"/>
          <w:szCs w:val="32"/>
        </w:rPr>
        <w:t>6</w:t>
      </w:r>
      <w:r>
        <w:rPr>
          <w:rFonts w:ascii="Times New Roman"/>
          <w:szCs w:val="32"/>
        </w:rPr>
        <w:t>分，实际得分</w:t>
      </w:r>
      <w:r>
        <w:rPr>
          <w:rFonts w:hint="eastAsia" w:ascii="Times New Roman"/>
          <w:szCs w:val="32"/>
        </w:rPr>
        <w:t>6</w:t>
      </w:r>
      <w:r>
        <w:rPr>
          <w:rFonts w:ascii="Times New Roman"/>
          <w:szCs w:val="32"/>
        </w:rPr>
        <w:t>分。</w:t>
      </w:r>
    </w:p>
    <w:p w14:paraId="0A5FD176">
      <w:pPr>
        <w:spacing w:line="560" w:lineRule="exact"/>
        <w:ind w:firstLine="632" w:firstLineChars="200"/>
        <w:rPr>
          <w:rFonts w:ascii="Times New Roman"/>
          <w:b/>
          <w:bCs/>
        </w:rPr>
      </w:pPr>
      <w:r>
        <w:rPr>
          <w:rFonts w:hint="eastAsia" w:ascii="Times New Roman"/>
          <w:b/>
          <w:bCs/>
        </w:rPr>
        <w:t>5、可持续发展能力</w:t>
      </w:r>
      <w:r>
        <w:rPr>
          <w:rFonts w:hint="eastAsia" w:ascii="Times New Roman"/>
          <w:b/>
          <w:bCs/>
          <w:szCs w:val="36"/>
        </w:rPr>
        <w:t>指标完成情况详细分析</w:t>
      </w:r>
    </w:p>
    <w:p w14:paraId="18F34109">
      <w:pPr>
        <w:spacing w:line="560" w:lineRule="exact"/>
        <w:ind w:firstLine="632" w:firstLineChars="200"/>
        <w:rPr>
          <w:rFonts w:ascii="Times New Roman"/>
          <w:szCs w:val="32"/>
        </w:rPr>
      </w:pPr>
      <w:r>
        <w:rPr>
          <w:rFonts w:hint="eastAsia" w:ascii="Times New Roman"/>
          <w:szCs w:val="36"/>
        </w:rPr>
        <w:t>可持续发展能力</w:t>
      </w:r>
      <w:r>
        <w:rPr>
          <w:rFonts w:ascii="Times New Roman"/>
          <w:szCs w:val="32"/>
        </w:rPr>
        <w:t>指标总分值</w:t>
      </w:r>
      <w:r>
        <w:rPr>
          <w:rFonts w:hint="eastAsia" w:ascii="Times New Roman"/>
          <w:szCs w:val="32"/>
        </w:rPr>
        <w:t>6</w:t>
      </w:r>
      <w:r>
        <w:rPr>
          <w:rFonts w:ascii="Times New Roman"/>
          <w:szCs w:val="32"/>
        </w:rPr>
        <w:t>分，实际得分</w:t>
      </w:r>
      <w:r>
        <w:rPr>
          <w:rFonts w:hint="eastAsia" w:ascii="Times New Roman"/>
          <w:szCs w:val="32"/>
        </w:rPr>
        <w:t>5</w:t>
      </w:r>
      <w:r>
        <w:rPr>
          <w:rFonts w:ascii="Times New Roman"/>
          <w:szCs w:val="32"/>
        </w:rPr>
        <w:t>分。各项指标具体完成情况如下：</w:t>
      </w:r>
    </w:p>
    <w:p w14:paraId="4712AD57">
      <w:pPr>
        <w:spacing w:line="560" w:lineRule="exact"/>
        <w:ind w:firstLine="632" w:firstLineChars="200"/>
        <w:rPr>
          <w:rFonts w:ascii="Times New Roman"/>
        </w:rPr>
      </w:pPr>
      <w:r>
        <w:rPr>
          <w:rFonts w:ascii="Times New Roman"/>
          <w:kern w:val="0"/>
          <w:szCs w:val="36"/>
        </w:rPr>
        <w:t>（</w:t>
      </w:r>
      <w:r>
        <w:rPr>
          <w:rFonts w:hint="eastAsia" w:ascii="Times New Roman"/>
          <w:kern w:val="0"/>
          <w:szCs w:val="36"/>
        </w:rPr>
        <w:t>1</w:t>
      </w:r>
      <w:r>
        <w:rPr>
          <w:rFonts w:ascii="Times New Roman"/>
          <w:kern w:val="0"/>
          <w:szCs w:val="36"/>
        </w:rPr>
        <w:t>）</w:t>
      </w:r>
      <w:r>
        <w:rPr>
          <w:rFonts w:hint="eastAsia" w:ascii="Times New Roman"/>
          <w:kern w:val="0"/>
          <w:szCs w:val="36"/>
        </w:rPr>
        <w:t>体制机制改革</w:t>
      </w:r>
      <w:r>
        <w:rPr>
          <w:rFonts w:ascii="Times New Roman"/>
        </w:rPr>
        <w:t>。</w:t>
      </w:r>
    </w:p>
    <w:p w14:paraId="3290CFDA">
      <w:pPr>
        <w:spacing w:line="560" w:lineRule="exact"/>
        <w:ind w:firstLine="632" w:firstLineChars="200"/>
        <w:rPr>
          <w:rFonts w:ascii="Times New Roman"/>
        </w:rPr>
      </w:pPr>
      <w:r>
        <w:rPr>
          <w:rFonts w:hint="eastAsia" w:ascii="Times New Roman"/>
        </w:rPr>
        <w:t>本年度制定了《西塞山区基本公共卫生服务体系改革实施方案》并取得初步成效。</w:t>
      </w:r>
    </w:p>
    <w:p w14:paraId="7882B196">
      <w:pPr>
        <w:spacing w:line="560" w:lineRule="exact"/>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r>
        <w:rPr>
          <w:rFonts w:ascii="Times New Roman"/>
        </w:rPr>
        <w:t>。</w:t>
      </w:r>
      <w:bookmarkEnd w:id="7"/>
      <w:bookmarkEnd w:id="12"/>
    </w:p>
    <w:p w14:paraId="48E3CE10">
      <w:pPr>
        <w:pStyle w:val="10"/>
        <w:numPr>
          <w:ilvl w:val="0"/>
          <w:numId w:val="10"/>
        </w:numPr>
        <w:rPr>
          <w:rFonts w:ascii="Times New Roman"/>
          <w:b w:val="0"/>
          <w:bCs/>
        </w:rPr>
      </w:pPr>
      <w:r>
        <w:rPr>
          <w:rFonts w:hint="eastAsia" w:ascii="Times New Roman"/>
          <w:b w:val="0"/>
          <w:bCs/>
        </w:rPr>
        <w:t>人才支撑</w:t>
      </w:r>
    </w:p>
    <w:p w14:paraId="66651E57">
      <w:pPr>
        <w:spacing w:line="560" w:lineRule="exact"/>
        <w:ind w:firstLine="632" w:firstLineChars="200"/>
        <w:rPr>
          <w:rFonts w:ascii="Times New Roman"/>
          <w:szCs w:val="32"/>
        </w:rPr>
      </w:pPr>
      <w:r>
        <w:rPr>
          <w:rFonts w:hint="eastAsia" w:ascii="Times New Roman"/>
          <w:szCs w:val="32"/>
        </w:rPr>
        <w:t>本年度业务学习与培训完成计划；无干部队伍体系建设规划情况及高学历、高层次人才储备。</w:t>
      </w:r>
    </w:p>
    <w:p w14:paraId="5049EA56">
      <w:pPr>
        <w:spacing w:line="560" w:lineRule="exact"/>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1</w:t>
      </w:r>
      <w:r>
        <w:rPr>
          <w:rFonts w:ascii="Times New Roman"/>
          <w:szCs w:val="32"/>
        </w:rPr>
        <w:t>分</w:t>
      </w:r>
      <w:r>
        <w:rPr>
          <w:rFonts w:ascii="Times New Roman"/>
        </w:rPr>
        <w:t>。</w:t>
      </w:r>
    </w:p>
    <w:p w14:paraId="3EAFD350">
      <w:pPr>
        <w:numPr>
          <w:ilvl w:val="0"/>
          <w:numId w:val="10"/>
        </w:numPr>
      </w:pPr>
      <w:r>
        <w:rPr>
          <w:rFonts w:hint="eastAsia"/>
        </w:rPr>
        <w:t>科技支撑</w:t>
      </w:r>
    </w:p>
    <w:p w14:paraId="7A4A7761">
      <w:pPr>
        <w:ind w:left="630"/>
      </w:pPr>
      <w:r>
        <w:rPr>
          <w:rFonts w:hint="eastAsia" w:ascii="Times New Roman"/>
          <w:szCs w:val="32"/>
        </w:rPr>
        <w:t>本年度</w:t>
      </w:r>
      <w:r>
        <w:rPr>
          <w:rFonts w:hint="eastAsia"/>
          <w:bCs/>
        </w:rPr>
        <w:t>有充分运用信息化手段提升工作效率及管理效能。</w:t>
      </w:r>
    </w:p>
    <w:p w14:paraId="15D2C3D8">
      <w:pPr>
        <w:spacing w:line="560" w:lineRule="exact"/>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2</w:t>
      </w:r>
      <w:r>
        <w:rPr>
          <w:rFonts w:ascii="Times New Roman"/>
          <w:szCs w:val="32"/>
        </w:rPr>
        <w:t>分</w:t>
      </w:r>
      <w:r>
        <w:rPr>
          <w:rFonts w:ascii="Times New Roman"/>
        </w:rPr>
        <w:t>。</w:t>
      </w:r>
    </w:p>
    <w:p w14:paraId="51AFF5D5">
      <w:pPr>
        <w:pStyle w:val="4"/>
        <w:spacing w:line="560" w:lineRule="exact"/>
        <w:ind w:firstLine="633"/>
        <w:rPr>
          <w:rFonts w:ascii="Times New Roman" w:hAnsi="Times New Roman"/>
          <w:sz w:val="32"/>
          <w:szCs w:val="36"/>
        </w:rPr>
      </w:pPr>
      <w:r>
        <w:rPr>
          <w:rFonts w:hint="eastAsia" w:ascii="Times New Roman" w:hAnsi="Times New Roman"/>
          <w:sz w:val="32"/>
          <w:szCs w:val="36"/>
        </w:rPr>
        <w:t>6、满意度指标完成情况详细分析</w:t>
      </w:r>
    </w:p>
    <w:p w14:paraId="6676C757">
      <w:pPr>
        <w:spacing w:line="560" w:lineRule="exact"/>
        <w:ind w:firstLine="632" w:firstLineChars="200"/>
        <w:rPr>
          <w:rFonts w:ascii="Times New Roman"/>
          <w:szCs w:val="32"/>
        </w:rPr>
      </w:pPr>
      <w:r>
        <w:rPr>
          <w:rFonts w:hint="eastAsia" w:ascii="Times New Roman"/>
          <w:szCs w:val="36"/>
        </w:rPr>
        <w:t>满意度</w:t>
      </w:r>
      <w:r>
        <w:rPr>
          <w:rFonts w:ascii="Times New Roman"/>
          <w:szCs w:val="32"/>
        </w:rPr>
        <w:t>指标总分值</w:t>
      </w:r>
      <w:r>
        <w:rPr>
          <w:rFonts w:hint="eastAsia" w:ascii="Times New Roman"/>
          <w:szCs w:val="32"/>
        </w:rPr>
        <w:t>4</w:t>
      </w:r>
      <w:r>
        <w:rPr>
          <w:rFonts w:ascii="Times New Roman"/>
          <w:szCs w:val="32"/>
        </w:rPr>
        <w:t>分，实际得分</w:t>
      </w:r>
      <w:r>
        <w:rPr>
          <w:rFonts w:hint="eastAsia" w:ascii="Times New Roman"/>
          <w:szCs w:val="32"/>
        </w:rPr>
        <w:t>3.78</w:t>
      </w:r>
      <w:r>
        <w:rPr>
          <w:rFonts w:ascii="Times New Roman"/>
          <w:szCs w:val="32"/>
        </w:rPr>
        <w:t>分。各项指标具体完成情况如下：</w:t>
      </w:r>
    </w:p>
    <w:p w14:paraId="75CA4213">
      <w:pPr>
        <w:ind w:firstLine="632" w:firstLineChars="200"/>
      </w:pPr>
      <w:r>
        <w:rPr>
          <w:rFonts w:hint="eastAsia"/>
        </w:rPr>
        <w:t>（1）服务对象满意度</w:t>
      </w:r>
    </w:p>
    <w:p w14:paraId="6B55BB33">
      <w:pPr>
        <w:pStyle w:val="10"/>
        <w:spacing w:line="240" w:lineRule="auto"/>
        <w:ind w:firstLine="632" w:firstLineChars="200"/>
        <w:rPr>
          <w:b w:val="0"/>
          <w:bCs/>
        </w:rPr>
      </w:pPr>
      <w:r>
        <w:rPr>
          <w:rFonts w:hint="eastAsia"/>
          <w:b w:val="0"/>
          <w:bCs/>
        </w:rPr>
        <w:t>本次通过问卷调查，接受服务的人群满意度为92.68%。</w:t>
      </w:r>
    </w:p>
    <w:p w14:paraId="52FB8DBC">
      <w:pPr>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1.85</w:t>
      </w:r>
      <w:r>
        <w:rPr>
          <w:rFonts w:ascii="Times New Roman"/>
          <w:szCs w:val="32"/>
        </w:rPr>
        <w:t>分</w:t>
      </w:r>
      <w:r>
        <w:rPr>
          <w:rFonts w:ascii="Times New Roman"/>
        </w:rPr>
        <w:t>。</w:t>
      </w:r>
    </w:p>
    <w:p w14:paraId="17794907">
      <w:pPr>
        <w:pStyle w:val="10"/>
        <w:numPr>
          <w:ilvl w:val="0"/>
          <w:numId w:val="11"/>
        </w:numPr>
        <w:spacing w:line="240" w:lineRule="auto"/>
        <w:ind w:left="0" w:firstLine="632" w:firstLineChars="200"/>
        <w:rPr>
          <w:b w:val="0"/>
          <w:bCs/>
        </w:rPr>
      </w:pPr>
      <w:r>
        <w:rPr>
          <w:rFonts w:hint="eastAsia"/>
          <w:b w:val="0"/>
          <w:bCs/>
        </w:rPr>
        <w:t>联系部门满意度</w:t>
      </w:r>
    </w:p>
    <w:p w14:paraId="22F36251">
      <w:pPr>
        <w:ind w:firstLine="632" w:firstLineChars="200"/>
        <w:rPr>
          <w:rFonts w:ascii="Times New Roman"/>
          <w:szCs w:val="32"/>
        </w:rPr>
      </w:pPr>
      <w:r>
        <w:rPr>
          <w:rFonts w:hint="eastAsia" w:ascii="Times New Roman"/>
          <w:szCs w:val="32"/>
        </w:rPr>
        <w:t>本次通过问卷调查，其他相关部门的满意度为96.55%。</w:t>
      </w:r>
    </w:p>
    <w:p w14:paraId="6E0F8FEB">
      <w:pPr>
        <w:ind w:firstLine="632" w:firstLineChars="200"/>
        <w:rPr>
          <w:rFonts w:ascii="Times New Roman"/>
        </w:rPr>
      </w:pPr>
      <w:r>
        <w:rPr>
          <w:rFonts w:ascii="Times New Roman"/>
          <w:szCs w:val="32"/>
        </w:rPr>
        <w:t>本项标准分值</w:t>
      </w:r>
      <w:r>
        <w:rPr>
          <w:rFonts w:hint="eastAsia" w:ascii="Times New Roman"/>
          <w:szCs w:val="32"/>
        </w:rPr>
        <w:t>2</w:t>
      </w:r>
      <w:r>
        <w:rPr>
          <w:rFonts w:ascii="Times New Roman"/>
          <w:szCs w:val="32"/>
        </w:rPr>
        <w:t>分，综合得分</w:t>
      </w:r>
      <w:r>
        <w:rPr>
          <w:rFonts w:hint="eastAsia" w:ascii="Times New Roman"/>
          <w:szCs w:val="32"/>
        </w:rPr>
        <w:t>1.93</w:t>
      </w:r>
      <w:r>
        <w:rPr>
          <w:rFonts w:ascii="Times New Roman"/>
          <w:szCs w:val="32"/>
        </w:rPr>
        <w:t>分</w:t>
      </w:r>
      <w:r>
        <w:rPr>
          <w:rFonts w:ascii="Times New Roman"/>
        </w:rPr>
        <w:t>。</w:t>
      </w:r>
    </w:p>
    <w:p w14:paraId="39283D37">
      <w:pPr>
        <w:pStyle w:val="3"/>
        <w:spacing w:line="560" w:lineRule="exact"/>
        <w:ind w:firstLine="630"/>
        <w:rPr>
          <w:b w:val="0"/>
          <w:bCs w:val="0"/>
          <w:sz w:val="32"/>
        </w:rPr>
      </w:pPr>
      <w:r>
        <w:rPr>
          <w:b w:val="0"/>
          <w:bCs w:val="0"/>
          <w:sz w:val="32"/>
        </w:rPr>
        <w:t>三、原始资料</w:t>
      </w:r>
    </w:p>
    <w:p w14:paraId="21D8B70E">
      <w:pPr>
        <w:spacing w:line="560" w:lineRule="exact"/>
        <w:ind w:firstLine="632" w:firstLineChars="200"/>
        <w:rPr>
          <w:rFonts w:ascii="Times New Roman"/>
          <w:szCs w:val="32"/>
        </w:rPr>
      </w:pPr>
      <w:r>
        <w:rPr>
          <w:rFonts w:ascii="Times New Roman"/>
          <w:szCs w:val="32"/>
        </w:rPr>
        <w:t>附件</w:t>
      </w:r>
      <w:r>
        <w:rPr>
          <w:rFonts w:hint="eastAsia" w:ascii="Times New Roman"/>
          <w:szCs w:val="32"/>
        </w:rPr>
        <w:t>1</w:t>
      </w:r>
      <w:r>
        <w:rPr>
          <w:rFonts w:ascii="Times New Roman"/>
          <w:szCs w:val="32"/>
        </w:rPr>
        <w:t>：指标体系评分表</w:t>
      </w:r>
    </w:p>
    <w:p w14:paraId="11F35221">
      <w:pPr>
        <w:spacing w:line="560" w:lineRule="exact"/>
        <w:ind w:firstLine="632" w:firstLineChars="200"/>
        <w:rPr>
          <w:rFonts w:ascii="Times New Roman"/>
          <w:szCs w:val="32"/>
        </w:rPr>
      </w:pPr>
      <w:r>
        <w:rPr>
          <w:rFonts w:ascii="Times New Roman"/>
          <w:szCs w:val="32"/>
        </w:rPr>
        <w:t>附件</w:t>
      </w:r>
      <w:r>
        <w:rPr>
          <w:rFonts w:hint="eastAsia" w:ascii="Times New Roman"/>
          <w:szCs w:val="32"/>
        </w:rPr>
        <w:t>2</w:t>
      </w:r>
      <w:r>
        <w:rPr>
          <w:rFonts w:ascii="Times New Roman"/>
          <w:szCs w:val="32"/>
        </w:rPr>
        <w:t>：绩效目标完成情况对比表</w:t>
      </w:r>
    </w:p>
    <w:p w14:paraId="3EA27EC0">
      <w:pPr>
        <w:spacing w:line="560" w:lineRule="exact"/>
        <w:ind w:firstLine="632" w:firstLineChars="200"/>
        <w:rPr>
          <w:rFonts w:ascii="Times New Roman"/>
          <w:szCs w:val="32"/>
        </w:rPr>
      </w:pPr>
      <w:r>
        <w:rPr>
          <w:rFonts w:ascii="Times New Roman"/>
          <w:szCs w:val="32"/>
        </w:rPr>
        <w:t>附件</w:t>
      </w:r>
      <w:r>
        <w:rPr>
          <w:rFonts w:hint="eastAsia" w:ascii="Times New Roman"/>
          <w:szCs w:val="32"/>
        </w:rPr>
        <w:t>3</w:t>
      </w:r>
      <w:r>
        <w:rPr>
          <w:rFonts w:ascii="Times New Roman"/>
          <w:szCs w:val="32"/>
        </w:rPr>
        <w:t>：调查问卷</w:t>
      </w:r>
      <w:r>
        <w:rPr>
          <w:rFonts w:hint="eastAsia" w:ascii="Times New Roman"/>
          <w:szCs w:val="32"/>
        </w:rPr>
        <w:t>汇总分析</w:t>
      </w:r>
    </w:p>
    <w:p w14:paraId="7AE55F84">
      <w:pPr>
        <w:spacing w:line="560" w:lineRule="exact"/>
        <w:ind w:firstLine="632" w:firstLineChars="200"/>
        <w:rPr>
          <w:rFonts w:ascii="Times New Roman"/>
          <w:szCs w:val="32"/>
        </w:rPr>
      </w:pPr>
    </w:p>
    <w:p w14:paraId="4C8E4E01">
      <w:pPr>
        <w:ind w:firstLine="632" w:firstLineChars="200"/>
        <w:rPr>
          <w:rFonts w:ascii="Times New Roman"/>
        </w:rPr>
      </w:pPr>
    </w:p>
    <w:p w14:paraId="3858AEFF">
      <w:pPr>
        <w:ind w:firstLine="632" w:firstLineChars="200"/>
        <w:jc w:val="right"/>
        <w:rPr>
          <w:rFonts w:ascii="Times New Roman"/>
        </w:rPr>
      </w:pPr>
      <w:r>
        <w:rPr>
          <w:rFonts w:hint="eastAsia" w:ascii="Times New Roman"/>
        </w:rPr>
        <w:t>中达致远房地产资产评估（武汉）有限公司</w:t>
      </w:r>
    </w:p>
    <w:p w14:paraId="3D3E44FA">
      <w:pPr>
        <w:ind w:firstLine="632" w:firstLineChars="200"/>
        <w:jc w:val="right"/>
        <w:rPr>
          <w:rFonts w:ascii="Times New Roman"/>
        </w:rPr>
      </w:pPr>
      <w:r>
        <w:rPr>
          <w:rFonts w:ascii="Times New Roman"/>
        </w:rPr>
        <w:t>202</w:t>
      </w:r>
      <w:r>
        <w:rPr>
          <w:rFonts w:hint="eastAsia" w:ascii="Times New Roman"/>
        </w:rPr>
        <w:t>3</w:t>
      </w:r>
      <w:r>
        <w:rPr>
          <w:rFonts w:ascii="Times New Roman"/>
        </w:rPr>
        <w:t>年</w:t>
      </w:r>
      <w:r>
        <w:rPr>
          <w:rFonts w:hint="eastAsia" w:ascii="Times New Roman"/>
        </w:rPr>
        <w:t>9</w:t>
      </w:r>
      <w:r>
        <w:rPr>
          <w:rFonts w:ascii="Times New Roman"/>
        </w:rPr>
        <w:t>月</w:t>
      </w:r>
      <w:r>
        <w:rPr>
          <w:rFonts w:hint="eastAsia" w:ascii="Times New Roman"/>
        </w:rPr>
        <w:t>5</w:t>
      </w:r>
      <w:r>
        <w:rPr>
          <w:rFonts w:ascii="Times New Roman"/>
        </w:rPr>
        <w:t>日</w:t>
      </w:r>
    </w:p>
    <w:sectPr>
      <w:footerReference r:id="rId3" w:type="default"/>
      <w:pgSz w:w="11906" w:h="16838"/>
      <w:pgMar w:top="2098" w:right="1474" w:bottom="1984" w:left="1588" w:header="851" w:footer="992" w:gutter="0"/>
      <w:pgNumType w:fmt="numberInDash" w:start="1"/>
      <w:cols w:space="0" w:num="1"/>
      <w:docGrid w:type="linesAndChars" w:linePitch="579" w:charSpace="-10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762E8BC5-8BC8-466E-983B-7ED0DA322777}"/>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D1DD3A17-F581-4ACA-8BB4-45D215F15844}"/>
  </w:font>
  <w:font w:name="Wingdings 2">
    <w:altName w:val="Wingdings"/>
    <w:panose1 w:val="05020102010507070707"/>
    <w:charset w:val="02"/>
    <w:family w:val="roman"/>
    <w:pitch w:val="default"/>
    <w:sig w:usb0="00000000" w:usb1="00000000" w:usb2="00000000" w:usb3="00000000" w:csb0="80000000" w:csb1="00000000"/>
    <w:embedRegular r:id="rId3" w:fontKey="{AB48EC0D-0495-44CC-A902-680ACFFD4AFE}"/>
  </w:font>
  <w:font w:name="仿宋">
    <w:panose1 w:val="02010609060101010101"/>
    <w:charset w:val="86"/>
    <w:family w:val="modern"/>
    <w:pitch w:val="default"/>
    <w:sig w:usb0="800002BF" w:usb1="38CF7CFA" w:usb2="00000016" w:usb3="00000000" w:csb0="00040001" w:csb1="00000000"/>
    <w:embedRegular r:id="rId4" w:fontKey="{DA9C7CA0-295C-4F89-B632-980B992AD07B}"/>
  </w:font>
  <w:font w:name="楷体">
    <w:panose1 w:val="02010609060101010101"/>
    <w:charset w:val="86"/>
    <w:family w:val="modern"/>
    <w:pitch w:val="default"/>
    <w:sig w:usb0="800002BF" w:usb1="38CF7CFA" w:usb2="00000016" w:usb3="00000000" w:csb0="00040001" w:csb1="00000000"/>
    <w:embedRegular r:id="rId5" w:fontKey="{212998CA-03E2-458B-9D25-C4BFD6CFC7CA}"/>
  </w:font>
  <w:font w:name="微软雅黑">
    <w:panose1 w:val="020B0503020204020204"/>
    <w:charset w:val="86"/>
    <w:family w:val="swiss"/>
    <w:pitch w:val="default"/>
    <w:sig w:usb0="80000287" w:usb1="2ACF3C50" w:usb2="00000016" w:usb3="00000000" w:csb0="0004001F" w:csb1="00000000"/>
    <w:embedRegular r:id="rId6" w:fontKey="{D30CA382-AE9A-4AB2-8EA8-17109A02ADA8}"/>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167131"/>
    </w:sdtPr>
    <w:sdtEndPr>
      <w:rPr>
        <w:sz w:val="28"/>
        <w:szCs w:val="28"/>
      </w:rPr>
    </w:sdtEndPr>
    <w:sdtContent>
      <w:p w14:paraId="4EF134BD">
        <w:pPr>
          <w:pStyle w:val="8"/>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p>
    </w:sdtContent>
  </w:sdt>
  <w:p w14:paraId="16811838">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1EFC5D"/>
    <w:multiLevelType w:val="singleLevel"/>
    <w:tmpl w:val="851EFC5D"/>
    <w:lvl w:ilvl="0" w:tentative="0">
      <w:start w:val="2"/>
      <w:numFmt w:val="decimal"/>
      <w:suff w:val="nothing"/>
      <w:lvlText w:val="（%1）"/>
      <w:lvlJc w:val="left"/>
    </w:lvl>
  </w:abstractNum>
  <w:abstractNum w:abstractNumId="1">
    <w:nsid w:val="8F1E5740"/>
    <w:multiLevelType w:val="singleLevel"/>
    <w:tmpl w:val="8F1E5740"/>
    <w:lvl w:ilvl="0" w:tentative="0">
      <w:start w:val="1"/>
      <w:numFmt w:val="decimal"/>
      <w:suff w:val="nothing"/>
      <w:lvlText w:val="（%1）"/>
      <w:lvlJc w:val="left"/>
    </w:lvl>
  </w:abstractNum>
  <w:abstractNum w:abstractNumId="2">
    <w:nsid w:val="9253EA3C"/>
    <w:multiLevelType w:val="singleLevel"/>
    <w:tmpl w:val="9253EA3C"/>
    <w:lvl w:ilvl="0" w:tentative="0">
      <w:start w:val="1"/>
      <w:numFmt w:val="decimal"/>
      <w:suff w:val="nothing"/>
      <w:lvlText w:val="（%1）"/>
      <w:lvlJc w:val="left"/>
    </w:lvl>
  </w:abstractNum>
  <w:abstractNum w:abstractNumId="3">
    <w:nsid w:val="B6A09255"/>
    <w:multiLevelType w:val="singleLevel"/>
    <w:tmpl w:val="B6A09255"/>
    <w:lvl w:ilvl="0" w:tentative="0">
      <w:start w:val="2"/>
      <w:numFmt w:val="decimal"/>
      <w:suff w:val="nothing"/>
      <w:lvlText w:val="（%1）"/>
      <w:lvlJc w:val="left"/>
      <w:pPr>
        <w:ind w:left="632" w:firstLine="0"/>
      </w:pPr>
    </w:lvl>
  </w:abstractNum>
  <w:abstractNum w:abstractNumId="4">
    <w:nsid w:val="BB07E970"/>
    <w:multiLevelType w:val="singleLevel"/>
    <w:tmpl w:val="BB07E970"/>
    <w:lvl w:ilvl="0" w:tentative="0">
      <w:start w:val="2"/>
      <w:numFmt w:val="decimal"/>
      <w:suff w:val="nothing"/>
      <w:lvlText w:val="（%1）"/>
      <w:lvlJc w:val="left"/>
    </w:lvl>
  </w:abstractNum>
  <w:abstractNum w:abstractNumId="5">
    <w:nsid w:val="BBA02E48"/>
    <w:multiLevelType w:val="singleLevel"/>
    <w:tmpl w:val="BBA02E48"/>
    <w:lvl w:ilvl="0" w:tentative="0">
      <w:start w:val="4"/>
      <w:numFmt w:val="decimal"/>
      <w:suff w:val="nothing"/>
      <w:lvlText w:val="%1、"/>
      <w:lvlJc w:val="left"/>
    </w:lvl>
  </w:abstractNum>
  <w:abstractNum w:abstractNumId="6">
    <w:nsid w:val="C9D4CE26"/>
    <w:multiLevelType w:val="singleLevel"/>
    <w:tmpl w:val="C9D4CE26"/>
    <w:lvl w:ilvl="0" w:tentative="0">
      <w:start w:val="1"/>
      <w:numFmt w:val="decimal"/>
      <w:suff w:val="nothing"/>
      <w:lvlText w:val="（%1）"/>
      <w:lvlJc w:val="left"/>
    </w:lvl>
  </w:abstractNum>
  <w:abstractNum w:abstractNumId="7">
    <w:nsid w:val="3EE8CD4A"/>
    <w:multiLevelType w:val="singleLevel"/>
    <w:tmpl w:val="3EE8CD4A"/>
    <w:lvl w:ilvl="0" w:tentative="0">
      <w:start w:val="2"/>
      <w:numFmt w:val="decimal"/>
      <w:suff w:val="nothing"/>
      <w:lvlText w:val="%1、"/>
      <w:lvlJc w:val="left"/>
    </w:lvl>
  </w:abstractNum>
  <w:abstractNum w:abstractNumId="8">
    <w:nsid w:val="4E0DFF4B"/>
    <w:multiLevelType w:val="singleLevel"/>
    <w:tmpl w:val="4E0DFF4B"/>
    <w:lvl w:ilvl="0" w:tentative="0">
      <w:start w:val="5"/>
      <w:numFmt w:val="decimal"/>
      <w:suff w:val="nothing"/>
      <w:lvlText w:val="%1、"/>
      <w:lvlJc w:val="left"/>
    </w:lvl>
  </w:abstractNum>
  <w:abstractNum w:abstractNumId="9">
    <w:nsid w:val="62DAFBE5"/>
    <w:multiLevelType w:val="singleLevel"/>
    <w:tmpl w:val="62DAFBE5"/>
    <w:lvl w:ilvl="0" w:tentative="0">
      <w:start w:val="2"/>
      <w:numFmt w:val="decimal"/>
      <w:suff w:val="nothing"/>
      <w:lvlText w:val="（%1）"/>
      <w:lvlJc w:val="left"/>
      <w:pPr>
        <w:ind w:left="630" w:firstLine="0"/>
      </w:pPr>
    </w:lvl>
  </w:abstractNum>
  <w:abstractNum w:abstractNumId="10">
    <w:nsid w:val="7999369E"/>
    <w:multiLevelType w:val="singleLevel"/>
    <w:tmpl w:val="7999369E"/>
    <w:lvl w:ilvl="0" w:tentative="0">
      <w:start w:val="1"/>
      <w:numFmt w:val="decimal"/>
      <w:suff w:val="nothing"/>
      <w:lvlText w:val="（%1）"/>
      <w:lvlJc w:val="left"/>
    </w:lvl>
  </w:abstractNum>
  <w:num w:numId="1">
    <w:abstractNumId w:val="5"/>
  </w:num>
  <w:num w:numId="2">
    <w:abstractNumId w:val="8"/>
  </w:num>
  <w:num w:numId="3">
    <w:abstractNumId w:val="0"/>
  </w:num>
  <w:num w:numId="4">
    <w:abstractNumId w:val="1"/>
  </w:num>
  <w:num w:numId="5">
    <w:abstractNumId w:val="2"/>
  </w:num>
  <w:num w:numId="6">
    <w:abstractNumId w:val="7"/>
  </w:num>
  <w:num w:numId="7">
    <w:abstractNumId w:val="10"/>
  </w:num>
  <w:num w:numId="8">
    <w:abstractNumId w:val="6"/>
  </w:num>
  <w:num w:numId="9">
    <w:abstractNumId w:val="4"/>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jMDIwNGVhOGM5YjU1MjU3YTlmNDBjZGZkMDMzZWMifQ=="/>
  </w:docVars>
  <w:rsids>
    <w:rsidRoot w:val="00FE2BD0"/>
    <w:rsid w:val="00000C27"/>
    <w:rsid w:val="00002621"/>
    <w:rsid w:val="00002A08"/>
    <w:rsid w:val="00004665"/>
    <w:rsid w:val="00004AD7"/>
    <w:rsid w:val="00004DBC"/>
    <w:rsid w:val="00006600"/>
    <w:rsid w:val="00007EF0"/>
    <w:rsid w:val="0001033C"/>
    <w:rsid w:val="0001091C"/>
    <w:rsid w:val="00010FE6"/>
    <w:rsid w:val="000122CD"/>
    <w:rsid w:val="00012B5D"/>
    <w:rsid w:val="00013117"/>
    <w:rsid w:val="00013863"/>
    <w:rsid w:val="0001396E"/>
    <w:rsid w:val="00014642"/>
    <w:rsid w:val="00014BE7"/>
    <w:rsid w:val="00015424"/>
    <w:rsid w:val="00016054"/>
    <w:rsid w:val="000175B3"/>
    <w:rsid w:val="00017D60"/>
    <w:rsid w:val="000234F3"/>
    <w:rsid w:val="00023F98"/>
    <w:rsid w:val="000240F5"/>
    <w:rsid w:val="00024A8E"/>
    <w:rsid w:val="00025301"/>
    <w:rsid w:val="00026993"/>
    <w:rsid w:val="00026A60"/>
    <w:rsid w:val="00027012"/>
    <w:rsid w:val="000278F4"/>
    <w:rsid w:val="00030554"/>
    <w:rsid w:val="0003064C"/>
    <w:rsid w:val="00031E6F"/>
    <w:rsid w:val="0003271F"/>
    <w:rsid w:val="000327C3"/>
    <w:rsid w:val="00033039"/>
    <w:rsid w:val="00033132"/>
    <w:rsid w:val="0003315D"/>
    <w:rsid w:val="00033C30"/>
    <w:rsid w:val="00033D34"/>
    <w:rsid w:val="00034506"/>
    <w:rsid w:val="0003470E"/>
    <w:rsid w:val="000351D9"/>
    <w:rsid w:val="00036BF6"/>
    <w:rsid w:val="000376FF"/>
    <w:rsid w:val="00037D39"/>
    <w:rsid w:val="0004119B"/>
    <w:rsid w:val="000418B0"/>
    <w:rsid w:val="00041ED8"/>
    <w:rsid w:val="00043792"/>
    <w:rsid w:val="00045DEB"/>
    <w:rsid w:val="000467E3"/>
    <w:rsid w:val="00050520"/>
    <w:rsid w:val="00051D5A"/>
    <w:rsid w:val="00052781"/>
    <w:rsid w:val="00052D20"/>
    <w:rsid w:val="00053A9D"/>
    <w:rsid w:val="00053E18"/>
    <w:rsid w:val="0005571C"/>
    <w:rsid w:val="00060E4B"/>
    <w:rsid w:val="000618F6"/>
    <w:rsid w:val="00062066"/>
    <w:rsid w:val="00062478"/>
    <w:rsid w:val="00063D41"/>
    <w:rsid w:val="00063D8B"/>
    <w:rsid w:val="0006499E"/>
    <w:rsid w:val="00065730"/>
    <w:rsid w:val="000674F2"/>
    <w:rsid w:val="00070C8E"/>
    <w:rsid w:val="00071AC6"/>
    <w:rsid w:val="0007232D"/>
    <w:rsid w:val="00072E98"/>
    <w:rsid w:val="000744FB"/>
    <w:rsid w:val="00076917"/>
    <w:rsid w:val="00076E23"/>
    <w:rsid w:val="000771EB"/>
    <w:rsid w:val="00077CEB"/>
    <w:rsid w:val="00081DB0"/>
    <w:rsid w:val="0008244F"/>
    <w:rsid w:val="00083014"/>
    <w:rsid w:val="00083067"/>
    <w:rsid w:val="0008430C"/>
    <w:rsid w:val="00084C1A"/>
    <w:rsid w:val="000862F5"/>
    <w:rsid w:val="000907AC"/>
    <w:rsid w:val="00091865"/>
    <w:rsid w:val="0009263B"/>
    <w:rsid w:val="00092F92"/>
    <w:rsid w:val="00094DF2"/>
    <w:rsid w:val="00095725"/>
    <w:rsid w:val="00095C22"/>
    <w:rsid w:val="00096785"/>
    <w:rsid w:val="00097694"/>
    <w:rsid w:val="00097CC4"/>
    <w:rsid w:val="000A0386"/>
    <w:rsid w:val="000A074E"/>
    <w:rsid w:val="000A191C"/>
    <w:rsid w:val="000A2398"/>
    <w:rsid w:val="000A30CE"/>
    <w:rsid w:val="000A41D7"/>
    <w:rsid w:val="000A4B07"/>
    <w:rsid w:val="000A52F0"/>
    <w:rsid w:val="000A64B3"/>
    <w:rsid w:val="000A6674"/>
    <w:rsid w:val="000B00C3"/>
    <w:rsid w:val="000B0F9E"/>
    <w:rsid w:val="000B102B"/>
    <w:rsid w:val="000B134A"/>
    <w:rsid w:val="000B18F2"/>
    <w:rsid w:val="000B20BB"/>
    <w:rsid w:val="000B25EB"/>
    <w:rsid w:val="000B2621"/>
    <w:rsid w:val="000B2AE7"/>
    <w:rsid w:val="000B31DD"/>
    <w:rsid w:val="000B42DC"/>
    <w:rsid w:val="000B4CAD"/>
    <w:rsid w:val="000B4DE9"/>
    <w:rsid w:val="000B5EA4"/>
    <w:rsid w:val="000C02F5"/>
    <w:rsid w:val="000C0343"/>
    <w:rsid w:val="000C13DA"/>
    <w:rsid w:val="000C3790"/>
    <w:rsid w:val="000C42BE"/>
    <w:rsid w:val="000C4E7A"/>
    <w:rsid w:val="000C52EE"/>
    <w:rsid w:val="000C5435"/>
    <w:rsid w:val="000C58BB"/>
    <w:rsid w:val="000C58F6"/>
    <w:rsid w:val="000C636A"/>
    <w:rsid w:val="000D15EC"/>
    <w:rsid w:val="000D1764"/>
    <w:rsid w:val="000D17ED"/>
    <w:rsid w:val="000D1ADD"/>
    <w:rsid w:val="000D2488"/>
    <w:rsid w:val="000D2FA8"/>
    <w:rsid w:val="000D31A5"/>
    <w:rsid w:val="000D34B0"/>
    <w:rsid w:val="000D35A6"/>
    <w:rsid w:val="000D39C4"/>
    <w:rsid w:val="000D3F8D"/>
    <w:rsid w:val="000D5A29"/>
    <w:rsid w:val="000D5AA2"/>
    <w:rsid w:val="000D5CA1"/>
    <w:rsid w:val="000D6487"/>
    <w:rsid w:val="000D72E3"/>
    <w:rsid w:val="000D7B4A"/>
    <w:rsid w:val="000D7D46"/>
    <w:rsid w:val="000E172A"/>
    <w:rsid w:val="000E3ED9"/>
    <w:rsid w:val="000E3EF0"/>
    <w:rsid w:val="000E4021"/>
    <w:rsid w:val="000E415F"/>
    <w:rsid w:val="000E4BB6"/>
    <w:rsid w:val="000E5296"/>
    <w:rsid w:val="000E5678"/>
    <w:rsid w:val="000E60F6"/>
    <w:rsid w:val="000F1275"/>
    <w:rsid w:val="000F12E7"/>
    <w:rsid w:val="000F13E3"/>
    <w:rsid w:val="000F4801"/>
    <w:rsid w:val="000F6E50"/>
    <w:rsid w:val="001000CC"/>
    <w:rsid w:val="001025B9"/>
    <w:rsid w:val="00104AF4"/>
    <w:rsid w:val="00105089"/>
    <w:rsid w:val="001055C3"/>
    <w:rsid w:val="00105ED9"/>
    <w:rsid w:val="001068D2"/>
    <w:rsid w:val="00110189"/>
    <w:rsid w:val="00111D83"/>
    <w:rsid w:val="00111F9B"/>
    <w:rsid w:val="0011334E"/>
    <w:rsid w:val="001144E6"/>
    <w:rsid w:val="0011576B"/>
    <w:rsid w:val="00115840"/>
    <w:rsid w:val="00115EAD"/>
    <w:rsid w:val="0011628D"/>
    <w:rsid w:val="001219DE"/>
    <w:rsid w:val="001223B4"/>
    <w:rsid w:val="00122766"/>
    <w:rsid w:val="001227D4"/>
    <w:rsid w:val="00122B67"/>
    <w:rsid w:val="001230CA"/>
    <w:rsid w:val="00123B62"/>
    <w:rsid w:val="00123C9F"/>
    <w:rsid w:val="00123DFA"/>
    <w:rsid w:val="00126714"/>
    <w:rsid w:val="0013011C"/>
    <w:rsid w:val="00130894"/>
    <w:rsid w:val="001312D6"/>
    <w:rsid w:val="00131F0C"/>
    <w:rsid w:val="0013239A"/>
    <w:rsid w:val="00132D96"/>
    <w:rsid w:val="0013450F"/>
    <w:rsid w:val="001359E4"/>
    <w:rsid w:val="00135B88"/>
    <w:rsid w:val="00136B3B"/>
    <w:rsid w:val="00136B76"/>
    <w:rsid w:val="00137102"/>
    <w:rsid w:val="00141043"/>
    <w:rsid w:val="00141B21"/>
    <w:rsid w:val="001426DD"/>
    <w:rsid w:val="00142785"/>
    <w:rsid w:val="0014291D"/>
    <w:rsid w:val="001434FF"/>
    <w:rsid w:val="001440C0"/>
    <w:rsid w:val="0014419F"/>
    <w:rsid w:val="00144524"/>
    <w:rsid w:val="00144608"/>
    <w:rsid w:val="00144688"/>
    <w:rsid w:val="00144DB8"/>
    <w:rsid w:val="00145256"/>
    <w:rsid w:val="001464F8"/>
    <w:rsid w:val="00146CB0"/>
    <w:rsid w:val="00147758"/>
    <w:rsid w:val="00147F96"/>
    <w:rsid w:val="00150220"/>
    <w:rsid w:val="00152C5F"/>
    <w:rsid w:val="00153424"/>
    <w:rsid w:val="00153CF5"/>
    <w:rsid w:val="00153D4A"/>
    <w:rsid w:val="001560A2"/>
    <w:rsid w:val="00156980"/>
    <w:rsid w:val="00157B00"/>
    <w:rsid w:val="00157BE3"/>
    <w:rsid w:val="001616BF"/>
    <w:rsid w:val="00161887"/>
    <w:rsid w:val="001619E5"/>
    <w:rsid w:val="001628F8"/>
    <w:rsid w:val="00163CDD"/>
    <w:rsid w:val="00164B1D"/>
    <w:rsid w:val="00164FC5"/>
    <w:rsid w:val="0016509F"/>
    <w:rsid w:val="00165744"/>
    <w:rsid w:val="00165808"/>
    <w:rsid w:val="00165AD1"/>
    <w:rsid w:val="00167131"/>
    <w:rsid w:val="0016738F"/>
    <w:rsid w:val="00167610"/>
    <w:rsid w:val="0016767E"/>
    <w:rsid w:val="001676D6"/>
    <w:rsid w:val="00167F77"/>
    <w:rsid w:val="001708F7"/>
    <w:rsid w:val="0017092A"/>
    <w:rsid w:val="00171DEB"/>
    <w:rsid w:val="00173431"/>
    <w:rsid w:val="001734EC"/>
    <w:rsid w:val="001737C3"/>
    <w:rsid w:val="00173D6E"/>
    <w:rsid w:val="00175CD0"/>
    <w:rsid w:val="00176BCA"/>
    <w:rsid w:val="001777CE"/>
    <w:rsid w:val="00177AF0"/>
    <w:rsid w:val="00177EC8"/>
    <w:rsid w:val="00177F67"/>
    <w:rsid w:val="001800E3"/>
    <w:rsid w:val="001802D0"/>
    <w:rsid w:val="001809C7"/>
    <w:rsid w:val="00180DA7"/>
    <w:rsid w:val="00180E39"/>
    <w:rsid w:val="00181220"/>
    <w:rsid w:val="00181762"/>
    <w:rsid w:val="001818DA"/>
    <w:rsid w:val="001834E5"/>
    <w:rsid w:val="0018478D"/>
    <w:rsid w:val="00184BF7"/>
    <w:rsid w:val="001879B7"/>
    <w:rsid w:val="00191390"/>
    <w:rsid w:val="001915B7"/>
    <w:rsid w:val="001920EF"/>
    <w:rsid w:val="00192AE4"/>
    <w:rsid w:val="001938C5"/>
    <w:rsid w:val="001939E8"/>
    <w:rsid w:val="0019432E"/>
    <w:rsid w:val="00194D86"/>
    <w:rsid w:val="001964EA"/>
    <w:rsid w:val="001965BE"/>
    <w:rsid w:val="00196700"/>
    <w:rsid w:val="00196DEA"/>
    <w:rsid w:val="001972AE"/>
    <w:rsid w:val="00197D09"/>
    <w:rsid w:val="00197DB8"/>
    <w:rsid w:val="001A04CD"/>
    <w:rsid w:val="001A07DC"/>
    <w:rsid w:val="001A27DF"/>
    <w:rsid w:val="001A2F84"/>
    <w:rsid w:val="001A43ED"/>
    <w:rsid w:val="001A4789"/>
    <w:rsid w:val="001A4B2A"/>
    <w:rsid w:val="001A4CD8"/>
    <w:rsid w:val="001A50B1"/>
    <w:rsid w:val="001A620A"/>
    <w:rsid w:val="001A7035"/>
    <w:rsid w:val="001A71FC"/>
    <w:rsid w:val="001B0479"/>
    <w:rsid w:val="001B0612"/>
    <w:rsid w:val="001B073D"/>
    <w:rsid w:val="001B143B"/>
    <w:rsid w:val="001B2A34"/>
    <w:rsid w:val="001B2C0C"/>
    <w:rsid w:val="001B3E96"/>
    <w:rsid w:val="001B65C2"/>
    <w:rsid w:val="001B6B60"/>
    <w:rsid w:val="001B6F1C"/>
    <w:rsid w:val="001B73AD"/>
    <w:rsid w:val="001B7681"/>
    <w:rsid w:val="001B7D1A"/>
    <w:rsid w:val="001B7E2B"/>
    <w:rsid w:val="001C1CB8"/>
    <w:rsid w:val="001C22C4"/>
    <w:rsid w:val="001C2525"/>
    <w:rsid w:val="001C25E6"/>
    <w:rsid w:val="001C7493"/>
    <w:rsid w:val="001D03E4"/>
    <w:rsid w:val="001D140B"/>
    <w:rsid w:val="001D1769"/>
    <w:rsid w:val="001D42FA"/>
    <w:rsid w:val="001D6350"/>
    <w:rsid w:val="001D7B77"/>
    <w:rsid w:val="001D7BD8"/>
    <w:rsid w:val="001D7C2C"/>
    <w:rsid w:val="001E0C41"/>
    <w:rsid w:val="001E1F2C"/>
    <w:rsid w:val="001E2AC5"/>
    <w:rsid w:val="001E31CC"/>
    <w:rsid w:val="001E3347"/>
    <w:rsid w:val="001E349C"/>
    <w:rsid w:val="001E3A41"/>
    <w:rsid w:val="001E4568"/>
    <w:rsid w:val="001E5613"/>
    <w:rsid w:val="001E6710"/>
    <w:rsid w:val="001E6B03"/>
    <w:rsid w:val="001E7427"/>
    <w:rsid w:val="001E7D29"/>
    <w:rsid w:val="001F0B27"/>
    <w:rsid w:val="001F1962"/>
    <w:rsid w:val="001F2686"/>
    <w:rsid w:val="001F311D"/>
    <w:rsid w:val="001F3ACD"/>
    <w:rsid w:val="001F446C"/>
    <w:rsid w:val="001F4A60"/>
    <w:rsid w:val="001F4AB7"/>
    <w:rsid w:val="001F57B9"/>
    <w:rsid w:val="001F5B0E"/>
    <w:rsid w:val="001F5EFA"/>
    <w:rsid w:val="00200101"/>
    <w:rsid w:val="00200441"/>
    <w:rsid w:val="00200620"/>
    <w:rsid w:val="00200FCD"/>
    <w:rsid w:val="00201A20"/>
    <w:rsid w:val="00202C04"/>
    <w:rsid w:val="00203AA8"/>
    <w:rsid w:val="00203CF3"/>
    <w:rsid w:val="00207091"/>
    <w:rsid w:val="00210820"/>
    <w:rsid w:val="00212FF4"/>
    <w:rsid w:val="002135FB"/>
    <w:rsid w:val="00214DC4"/>
    <w:rsid w:val="00214FB1"/>
    <w:rsid w:val="00220BF3"/>
    <w:rsid w:val="00221D60"/>
    <w:rsid w:val="00222B76"/>
    <w:rsid w:val="00222BD4"/>
    <w:rsid w:val="00225B99"/>
    <w:rsid w:val="0022601E"/>
    <w:rsid w:val="002262F5"/>
    <w:rsid w:val="0022677D"/>
    <w:rsid w:val="00227345"/>
    <w:rsid w:val="00232343"/>
    <w:rsid w:val="002329A4"/>
    <w:rsid w:val="00233648"/>
    <w:rsid w:val="00233719"/>
    <w:rsid w:val="002337E4"/>
    <w:rsid w:val="00234F9F"/>
    <w:rsid w:val="002350C6"/>
    <w:rsid w:val="002354E2"/>
    <w:rsid w:val="00241C36"/>
    <w:rsid w:val="002439FF"/>
    <w:rsid w:val="00244478"/>
    <w:rsid w:val="00244ADD"/>
    <w:rsid w:val="00246B23"/>
    <w:rsid w:val="002471AC"/>
    <w:rsid w:val="002475BD"/>
    <w:rsid w:val="002477EA"/>
    <w:rsid w:val="00251448"/>
    <w:rsid w:val="0025183B"/>
    <w:rsid w:val="00251D6E"/>
    <w:rsid w:val="00252B93"/>
    <w:rsid w:val="002532F1"/>
    <w:rsid w:val="002535E9"/>
    <w:rsid w:val="00254C88"/>
    <w:rsid w:val="00257224"/>
    <w:rsid w:val="00257846"/>
    <w:rsid w:val="0026049D"/>
    <w:rsid w:val="0026080E"/>
    <w:rsid w:val="00260E9F"/>
    <w:rsid w:val="0026181F"/>
    <w:rsid w:val="002624AB"/>
    <w:rsid w:val="002625CE"/>
    <w:rsid w:val="00262F2F"/>
    <w:rsid w:val="0026358E"/>
    <w:rsid w:val="002636B9"/>
    <w:rsid w:val="00264E7D"/>
    <w:rsid w:val="002664EA"/>
    <w:rsid w:val="00266547"/>
    <w:rsid w:val="002666BC"/>
    <w:rsid w:val="00266DB5"/>
    <w:rsid w:val="00266F31"/>
    <w:rsid w:val="00270D1B"/>
    <w:rsid w:val="002728AC"/>
    <w:rsid w:val="00274484"/>
    <w:rsid w:val="00276803"/>
    <w:rsid w:val="00277BFC"/>
    <w:rsid w:val="00281578"/>
    <w:rsid w:val="00283025"/>
    <w:rsid w:val="0028474A"/>
    <w:rsid w:val="00286016"/>
    <w:rsid w:val="00286C3A"/>
    <w:rsid w:val="00290439"/>
    <w:rsid w:val="00290CD9"/>
    <w:rsid w:val="0029143A"/>
    <w:rsid w:val="00291C56"/>
    <w:rsid w:val="00292967"/>
    <w:rsid w:val="00292A77"/>
    <w:rsid w:val="00293107"/>
    <w:rsid w:val="00293BF7"/>
    <w:rsid w:val="00294182"/>
    <w:rsid w:val="002941DE"/>
    <w:rsid w:val="002947BE"/>
    <w:rsid w:val="002950BB"/>
    <w:rsid w:val="0029580E"/>
    <w:rsid w:val="00296E2A"/>
    <w:rsid w:val="002A0413"/>
    <w:rsid w:val="002A077F"/>
    <w:rsid w:val="002A2F28"/>
    <w:rsid w:val="002A4B1E"/>
    <w:rsid w:val="002A51B1"/>
    <w:rsid w:val="002A51E7"/>
    <w:rsid w:val="002A716C"/>
    <w:rsid w:val="002A7DA6"/>
    <w:rsid w:val="002A7F46"/>
    <w:rsid w:val="002A7FBE"/>
    <w:rsid w:val="002B07A6"/>
    <w:rsid w:val="002B0A91"/>
    <w:rsid w:val="002B1479"/>
    <w:rsid w:val="002B1F6E"/>
    <w:rsid w:val="002B2631"/>
    <w:rsid w:val="002B2C0B"/>
    <w:rsid w:val="002B320B"/>
    <w:rsid w:val="002B4B72"/>
    <w:rsid w:val="002B72CD"/>
    <w:rsid w:val="002B7B95"/>
    <w:rsid w:val="002C0CC4"/>
    <w:rsid w:val="002C204B"/>
    <w:rsid w:val="002C2E87"/>
    <w:rsid w:val="002C3AEB"/>
    <w:rsid w:val="002C3FC9"/>
    <w:rsid w:val="002C545D"/>
    <w:rsid w:val="002C7FD7"/>
    <w:rsid w:val="002D0212"/>
    <w:rsid w:val="002D05D9"/>
    <w:rsid w:val="002D0C74"/>
    <w:rsid w:val="002D13B5"/>
    <w:rsid w:val="002D17D9"/>
    <w:rsid w:val="002D1D16"/>
    <w:rsid w:val="002D2C21"/>
    <w:rsid w:val="002D3331"/>
    <w:rsid w:val="002D34AC"/>
    <w:rsid w:val="002D40C1"/>
    <w:rsid w:val="002D43EE"/>
    <w:rsid w:val="002D44B4"/>
    <w:rsid w:val="002D4C8D"/>
    <w:rsid w:val="002D4E4C"/>
    <w:rsid w:val="002D570F"/>
    <w:rsid w:val="002D5CBD"/>
    <w:rsid w:val="002D5F8B"/>
    <w:rsid w:val="002D7166"/>
    <w:rsid w:val="002D7AE8"/>
    <w:rsid w:val="002D7B48"/>
    <w:rsid w:val="002E092A"/>
    <w:rsid w:val="002E0AB3"/>
    <w:rsid w:val="002E2238"/>
    <w:rsid w:val="002E2C13"/>
    <w:rsid w:val="002E2FF5"/>
    <w:rsid w:val="002E4230"/>
    <w:rsid w:val="002E4DB8"/>
    <w:rsid w:val="002E5604"/>
    <w:rsid w:val="002E5FCD"/>
    <w:rsid w:val="002E60E9"/>
    <w:rsid w:val="002E6CF7"/>
    <w:rsid w:val="002F1543"/>
    <w:rsid w:val="002F201E"/>
    <w:rsid w:val="002F269F"/>
    <w:rsid w:val="002F3082"/>
    <w:rsid w:val="002F3146"/>
    <w:rsid w:val="002F373A"/>
    <w:rsid w:val="002F47F4"/>
    <w:rsid w:val="002F5F54"/>
    <w:rsid w:val="002F6E75"/>
    <w:rsid w:val="0030035D"/>
    <w:rsid w:val="00300683"/>
    <w:rsid w:val="00303B22"/>
    <w:rsid w:val="00303DDA"/>
    <w:rsid w:val="00304277"/>
    <w:rsid w:val="00304B28"/>
    <w:rsid w:val="00304F31"/>
    <w:rsid w:val="003052F5"/>
    <w:rsid w:val="00306676"/>
    <w:rsid w:val="00306B06"/>
    <w:rsid w:val="00310473"/>
    <w:rsid w:val="003113AB"/>
    <w:rsid w:val="00311401"/>
    <w:rsid w:val="0031242F"/>
    <w:rsid w:val="00312B17"/>
    <w:rsid w:val="00313C96"/>
    <w:rsid w:val="003146E1"/>
    <w:rsid w:val="0031484A"/>
    <w:rsid w:val="003151BC"/>
    <w:rsid w:val="00315838"/>
    <w:rsid w:val="00316507"/>
    <w:rsid w:val="00316568"/>
    <w:rsid w:val="003200F4"/>
    <w:rsid w:val="0032065C"/>
    <w:rsid w:val="00321348"/>
    <w:rsid w:val="003218F6"/>
    <w:rsid w:val="00321997"/>
    <w:rsid w:val="003229DE"/>
    <w:rsid w:val="00323A64"/>
    <w:rsid w:val="00323ED7"/>
    <w:rsid w:val="003258FC"/>
    <w:rsid w:val="00325AC6"/>
    <w:rsid w:val="00325CBC"/>
    <w:rsid w:val="00325D2B"/>
    <w:rsid w:val="00326AFB"/>
    <w:rsid w:val="00326EE5"/>
    <w:rsid w:val="0032780E"/>
    <w:rsid w:val="003304F9"/>
    <w:rsid w:val="0033058B"/>
    <w:rsid w:val="00331EAD"/>
    <w:rsid w:val="0033206E"/>
    <w:rsid w:val="00332A89"/>
    <w:rsid w:val="003336D4"/>
    <w:rsid w:val="00333A02"/>
    <w:rsid w:val="00334427"/>
    <w:rsid w:val="003345DB"/>
    <w:rsid w:val="0033605E"/>
    <w:rsid w:val="0033611C"/>
    <w:rsid w:val="00337041"/>
    <w:rsid w:val="00337570"/>
    <w:rsid w:val="00337C24"/>
    <w:rsid w:val="00340A7D"/>
    <w:rsid w:val="00341740"/>
    <w:rsid w:val="00342643"/>
    <w:rsid w:val="00342C75"/>
    <w:rsid w:val="00344254"/>
    <w:rsid w:val="003442E2"/>
    <w:rsid w:val="00344F63"/>
    <w:rsid w:val="00345002"/>
    <w:rsid w:val="0034545D"/>
    <w:rsid w:val="00346C92"/>
    <w:rsid w:val="00347334"/>
    <w:rsid w:val="00347F61"/>
    <w:rsid w:val="003500AD"/>
    <w:rsid w:val="003506C7"/>
    <w:rsid w:val="003508E1"/>
    <w:rsid w:val="00350A68"/>
    <w:rsid w:val="00351D43"/>
    <w:rsid w:val="003521C8"/>
    <w:rsid w:val="00352796"/>
    <w:rsid w:val="00352B53"/>
    <w:rsid w:val="003536C0"/>
    <w:rsid w:val="00353CD6"/>
    <w:rsid w:val="003545F2"/>
    <w:rsid w:val="00355891"/>
    <w:rsid w:val="00355924"/>
    <w:rsid w:val="003562F4"/>
    <w:rsid w:val="00356556"/>
    <w:rsid w:val="0035666E"/>
    <w:rsid w:val="0036100E"/>
    <w:rsid w:val="0036196D"/>
    <w:rsid w:val="003621A2"/>
    <w:rsid w:val="00362D9C"/>
    <w:rsid w:val="0036310C"/>
    <w:rsid w:val="00363416"/>
    <w:rsid w:val="003638CF"/>
    <w:rsid w:val="00365506"/>
    <w:rsid w:val="00366A7E"/>
    <w:rsid w:val="00366EF5"/>
    <w:rsid w:val="00370DBF"/>
    <w:rsid w:val="00371C86"/>
    <w:rsid w:val="00371D8C"/>
    <w:rsid w:val="003727E9"/>
    <w:rsid w:val="00372D0B"/>
    <w:rsid w:val="00372F79"/>
    <w:rsid w:val="00374B03"/>
    <w:rsid w:val="00375DCF"/>
    <w:rsid w:val="00375E54"/>
    <w:rsid w:val="0037617B"/>
    <w:rsid w:val="00376630"/>
    <w:rsid w:val="003772DF"/>
    <w:rsid w:val="00380092"/>
    <w:rsid w:val="0038064C"/>
    <w:rsid w:val="00383F05"/>
    <w:rsid w:val="00384269"/>
    <w:rsid w:val="00384CF4"/>
    <w:rsid w:val="00385007"/>
    <w:rsid w:val="00385533"/>
    <w:rsid w:val="00385B02"/>
    <w:rsid w:val="00385EA1"/>
    <w:rsid w:val="00385FC0"/>
    <w:rsid w:val="00387A41"/>
    <w:rsid w:val="00387BC2"/>
    <w:rsid w:val="00390D85"/>
    <w:rsid w:val="00391A33"/>
    <w:rsid w:val="00391BBE"/>
    <w:rsid w:val="00394D55"/>
    <w:rsid w:val="003951CA"/>
    <w:rsid w:val="00396AD1"/>
    <w:rsid w:val="00396D31"/>
    <w:rsid w:val="00397D7D"/>
    <w:rsid w:val="003A0EEE"/>
    <w:rsid w:val="003A24BF"/>
    <w:rsid w:val="003A30E4"/>
    <w:rsid w:val="003A3535"/>
    <w:rsid w:val="003A367A"/>
    <w:rsid w:val="003A5E8B"/>
    <w:rsid w:val="003A6321"/>
    <w:rsid w:val="003A74A6"/>
    <w:rsid w:val="003A7FDE"/>
    <w:rsid w:val="003B0B39"/>
    <w:rsid w:val="003B1133"/>
    <w:rsid w:val="003B15C8"/>
    <w:rsid w:val="003B322E"/>
    <w:rsid w:val="003B642A"/>
    <w:rsid w:val="003B7AA2"/>
    <w:rsid w:val="003C0CC8"/>
    <w:rsid w:val="003C155E"/>
    <w:rsid w:val="003C1A29"/>
    <w:rsid w:val="003C2DEC"/>
    <w:rsid w:val="003C3E6D"/>
    <w:rsid w:val="003C4D93"/>
    <w:rsid w:val="003C51BF"/>
    <w:rsid w:val="003C5520"/>
    <w:rsid w:val="003C55DE"/>
    <w:rsid w:val="003C5BCA"/>
    <w:rsid w:val="003C6552"/>
    <w:rsid w:val="003C6683"/>
    <w:rsid w:val="003C6CED"/>
    <w:rsid w:val="003C7E34"/>
    <w:rsid w:val="003D120D"/>
    <w:rsid w:val="003D2134"/>
    <w:rsid w:val="003D3114"/>
    <w:rsid w:val="003D424D"/>
    <w:rsid w:val="003D5033"/>
    <w:rsid w:val="003D530E"/>
    <w:rsid w:val="003D5947"/>
    <w:rsid w:val="003D5C22"/>
    <w:rsid w:val="003D6233"/>
    <w:rsid w:val="003D6404"/>
    <w:rsid w:val="003E0910"/>
    <w:rsid w:val="003E1176"/>
    <w:rsid w:val="003E1E21"/>
    <w:rsid w:val="003E2D4E"/>
    <w:rsid w:val="003E2E2D"/>
    <w:rsid w:val="003E3ACF"/>
    <w:rsid w:val="003E531A"/>
    <w:rsid w:val="003E5D21"/>
    <w:rsid w:val="003E6A7D"/>
    <w:rsid w:val="003E6FFC"/>
    <w:rsid w:val="003F0DB6"/>
    <w:rsid w:val="003F10CE"/>
    <w:rsid w:val="003F15AD"/>
    <w:rsid w:val="003F2457"/>
    <w:rsid w:val="003F3F35"/>
    <w:rsid w:val="003F5C0D"/>
    <w:rsid w:val="00400EB9"/>
    <w:rsid w:val="004013C4"/>
    <w:rsid w:val="00401F6D"/>
    <w:rsid w:val="00402CD9"/>
    <w:rsid w:val="00403864"/>
    <w:rsid w:val="00404AA8"/>
    <w:rsid w:val="00404C8F"/>
    <w:rsid w:val="00406F65"/>
    <w:rsid w:val="00410397"/>
    <w:rsid w:val="00411751"/>
    <w:rsid w:val="00411DF7"/>
    <w:rsid w:val="00412663"/>
    <w:rsid w:val="004127E1"/>
    <w:rsid w:val="00412ABF"/>
    <w:rsid w:val="0041401D"/>
    <w:rsid w:val="004158B2"/>
    <w:rsid w:val="00415FD9"/>
    <w:rsid w:val="00417164"/>
    <w:rsid w:val="00417224"/>
    <w:rsid w:val="00421E46"/>
    <w:rsid w:val="004239A9"/>
    <w:rsid w:val="004269FF"/>
    <w:rsid w:val="00426A5D"/>
    <w:rsid w:val="004320C5"/>
    <w:rsid w:val="0043250E"/>
    <w:rsid w:val="0043296B"/>
    <w:rsid w:val="00433504"/>
    <w:rsid w:val="00433A78"/>
    <w:rsid w:val="0043656C"/>
    <w:rsid w:val="00437369"/>
    <w:rsid w:val="00437C11"/>
    <w:rsid w:val="004405A5"/>
    <w:rsid w:val="00440918"/>
    <w:rsid w:val="00440BFE"/>
    <w:rsid w:val="0044236C"/>
    <w:rsid w:val="00443580"/>
    <w:rsid w:val="00444426"/>
    <w:rsid w:val="0044644E"/>
    <w:rsid w:val="0044661D"/>
    <w:rsid w:val="00447EA9"/>
    <w:rsid w:val="0045025D"/>
    <w:rsid w:val="00450BFE"/>
    <w:rsid w:val="00451AE3"/>
    <w:rsid w:val="004527C8"/>
    <w:rsid w:val="00453110"/>
    <w:rsid w:val="00453115"/>
    <w:rsid w:val="00453F89"/>
    <w:rsid w:val="00454379"/>
    <w:rsid w:val="00454CE7"/>
    <w:rsid w:val="00455496"/>
    <w:rsid w:val="004554D7"/>
    <w:rsid w:val="00455F97"/>
    <w:rsid w:val="00460B9E"/>
    <w:rsid w:val="00462307"/>
    <w:rsid w:val="0046340B"/>
    <w:rsid w:val="004648EE"/>
    <w:rsid w:val="0046628D"/>
    <w:rsid w:val="00466473"/>
    <w:rsid w:val="00467817"/>
    <w:rsid w:val="00470991"/>
    <w:rsid w:val="00471CA3"/>
    <w:rsid w:val="00472C69"/>
    <w:rsid w:val="00473575"/>
    <w:rsid w:val="0047377A"/>
    <w:rsid w:val="00473C01"/>
    <w:rsid w:val="004758B9"/>
    <w:rsid w:val="004762DD"/>
    <w:rsid w:val="00480AAE"/>
    <w:rsid w:val="00481474"/>
    <w:rsid w:val="004816DC"/>
    <w:rsid w:val="00481A56"/>
    <w:rsid w:val="00482BCB"/>
    <w:rsid w:val="00482D49"/>
    <w:rsid w:val="00483FCF"/>
    <w:rsid w:val="004852E7"/>
    <w:rsid w:val="004853A9"/>
    <w:rsid w:val="004854E4"/>
    <w:rsid w:val="004859FF"/>
    <w:rsid w:val="0048610D"/>
    <w:rsid w:val="00487C1B"/>
    <w:rsid w:val="00491E01"/>
    <w:rsid w:val="00492376"/>
    <w:rsid w:val="00493E42"/>
    <w:rsid w:val="00493FCC"/>
    <w:rsid w:val="00496ECB"/>
    <w:rsid w:val="004A1F08"/>
    <w:rsid w:val="004A2035"/>
    <w:rsid w:val="004A2890"/>
    <w:rsid w:val="004A3659"/>
    <w:rsid w:val="004A39ED"/>
    <w:rsid w:val="004A3B6F"/>
    <w:rsid w:val="004A4351"/>
    <w:rsid w:val="004B01CA"/>
    <w:rsid w:val="004B3CCC"/>
    <w:rsid w:val="004B42DE"/>
    <w:rsid w:val="004B4D26"/>
    <w:rsid w:val="004B4F57"/>
    <w:rsid w:val="004B54E0"/>
    <w:rsid w:val="004B7078"/>
    <w:rsid w:val="004B7FD9"/>
    <w:rsid w:val="004C0196"/>
    <w:rsid w:val="004C047C"/>
    <w:rsid w:val="004C08E3"/>
    <w:rsid w:val="004C1802"/>
    <w:rsid w:val="004C1B28"/>
    <w:rsid w:val="004C2102"/>
    <w:rsid w:val="004C291A"/>
    <w:rsid w:val="004C3A9D"/>
    <w:rsid w:val="004C4929"/>
    <w:rsid w:val="004C498B"/>
    <w:rsid w:val="004C4FFB"/>
    <w:rsid w:val="004C5B83"/>
    <w:rsid w:val="004C6BD6"/>
    <w:rsid w:val="004C6EE8"/>
    <w:rsid w:val="004C6F6B"/>
    <w:rsid w:val="004D0BDE"/>
    <w:rsid w:val="004D3146"/>
    <w:rsid w:val="004D3A42"/>
    <w:rsid w:val="004D473E"/>
    <w:rsid w:val="004D476C"/>
    <w:rsid w:val="004D5842"/>
    <w:rsid w:val="004D5CD3"/>
    <w:rsid w:val="004D71D5"/>
    <w:rsid w:val="004D71ED"/>
    <w:rsid w:val="004E0CBB"/>
    <w:rsid w:val="004E0DAC"/>
    <w:rsid w:val="004E1CFB"/>
    <w:rsid w:val="004E2CC2"/>
    <w:rsid w:val="004E3558"/>
    <w:rsid w:val="004E3722"/>
    <w:rsid w:val="004E389A"/>
    <w:rsid w:val="004E3BBF"/>
    <w:rsid w:val="004E3EAC"/>
    <w:rsid w:val="004E4155"/>
    <w:rsid w:val="004E41E7"/>
    <w:rsid w:val="004E43D7"/>
    <w:rsid w:val="004E4A04"/>
    <w:rsid w:val="004E4E60"/>
    <w:rsid w:val="004E53EE"/>
    <w:rsid w:val="004E546A"/>
    <w:rsid w:val="004E69EF"/>
    <w:rsid w:val="004E6DDE"/>
    <w:rsid w:val="004E7F44"/>
    <w:rsid w:val="004F0253"/>
    <w:rsid w:val="004F0DB5"/>
    <w:rsid w:val="004F2D98"/>
    <w:rsid w:val="004F44C9"/>
    <w:rsid w:val="004F467E"/>
    <w:rsid w:val="004F652F"/>
    <w:rsid w:val="004F75DC"/>
    <w:rsid w:val="004F7B0A"/>
    <w:rsid w:val="004F7BFA"/>
    <w:rsid w:val="00501CEF"/>
    <w:rsid w:val="00501D62"/>
    <w:rsid w:val="0050216A"/>
    <w:rsid w:val="00502AA9"/>
    <w:rsid w:val="0050333B"/>
    <w:rsid w:val="005042CB"/>
    <w:rsid w:val="005045DA"/>
    <w:rsid w:val="005048CD"/>
    <w:rsid w:val="00504E3C"/>
    <w:rsid w:val="00506EA5"/>
    <w:rsid w:val="00507F08"/>
    <w:rsid w:val="0051102B"/>
    <w:rsid w:val="00511473"/>
    <w:rsid w:val="00512D0C"/>
    <w:rsid w:val="00512DE9"/>
    <w:rsid w:val="00512E48"/>
    <w:rsid w:val="00513995"/>
    <w:rsid w:val="00514207"/>
    <w:rsid w:val="005144D3"/>
    <w:rsid w:val="005149E5"/>
    <w:rsid w:val="00514E78"/>
    <w:rsid w:val="0051550D"/>
    <w:rsid w:val="00515511"/>
    <w:rsid w:val="0052033A"/>
    <w:rsid w:val="005203D9"/>
    <w:rsid w:val="005209B7"/>
    <w:rsid w:val="00520C60"/>
    <w:rsid w:val="00521B68"/>
    <w:rsid w:val="00521E57"/>
    <w:rsid w:val="00521F0D"/>
    <w:rsid w:val="0052479D"/>
    <w:rsid w:val="00524D83"/>
    <w:rsid w:val="00525513"/>
    <w:rsid w:val="0052782F"/>
    <w:rsid w:val="00527F0E"/>
    <w:rsid w:val="0053081D"/>
    <w:rsid w:val="00532106"/>
    <w:rsid w:val="005328DF"/>
    <w:rsid w:val="0053672C"/>
    <w:rsid w:val="005404F5"/>
    <w:rsid w:val="00540672"/>
    <w:rsid w:val="005410E3"/>
    <w:rsid w:val="00541BC9"/>
    <w:rsid w:val="00541DE4"/>
    <w:rsid w:val="00542326"/>
    <w:rsid w:val="00542647"/>
    <w:rsid w:val="005431C1"/>
    <w:rsid w:val="00545275"/>
    <w:rsid w:val="005460D6"/>
    <w:rsid w:val="00547445"/>
    <w:rsid w:val="00547856"/>
    <w:rsid w:val="00547E79"/>
    <w:rsid w:val="00550B0D"/>
    <w:rsid w:val="00554785"/>
    <w:rsid w:val="00555536"/>
    <w:rsid w:val="005569C1"/>
    <w:rsid w:val="005602D7"/>
    <w:rsid w:val="00561256"/>
    <w:rsid w:val="00562C26"/>
    <w:rsid w:val="00564416"/>
    <w:rsid w:val="005647F5"/>
    <w:rsid w:val="005656DE"/>
    <w:rsid w:val="00566372"/>
    <w:rsid w:val="00570DE2"/>
    <w:rsid w:val="00571CA6"/>
    <w:rsid w:val="00572414"/>
    <w:rsid w:val="005726B6"/>
    <w:rsid w:val="0057322B"/>
    <w:rsid w:val="005743C3"/>
    <w:rsid w:val="00574799"/>
    <w:rsid w:val="00574846"/>
    <w:rsid w:val="0057508E"/>
    <w:rsid w:val="005755B1"/>
    <w:rsid w:val="0057583C"/>
    <w:rsid w:val="00577719"/>
    <w:rsid w:val="00580C68"/>
    <w:rsid w:val="00580C90"/>
    <w:rsid w:val="005819D5"/>
    <w:rsid w:val="00582481"/>
    <w:rsid w:val="005830FA"/>
    <w:rsid w:val="00583845"/>
    <w:rsid w:val="00583854"/>
    <w:rsid w:val="00584693"/>
    <w:rsid w:val="005869E4"/>
    <w:rsid w:val="0059170C"/>
    <w:rsid w:val="00593136"/>
    <w:rsid w:val="0059316E"/>
    <w:rsid w:val="00594AA8"/>
    <w:rsid w:val="005953BF"/>
    <w:rsid w:val="00595811"/>
    <w:rsid w:val="005962FC"/>
    <w:rsid w:val="00596C92"/>
    <w:rsid w:val="00596FC6"/>
    <w:rsid w:val="005974D3"/>
    <w:rsid w:val="005A0573"/>
    <w:rsid w:val="005A0A61"/>
    <w:rsid w:val="005A122E"/>
    <w:rsid w:val="005A185A"/>
    <w:rsid w:val="005A4432"/>
    <w:rsid w:val="005A483A"/>
    <w:rsid w:val="005A504F"/>
    <w:rsid w:val="005A5797"/>
    <w:rsid w:val="005A6559"/>
    <w:rsid w:val="005A67B8"/>
    <w:rsid w:val="005A68F5"/>
    <w:rsid w:val="005A7F10"/>
    <w:rsid w:val="005B32D8"/>
    <w:rsid w:val="005B4848"/>
    <w:rsid w:val="005B4D1B"/>
    <w:rsid w:val="005B56BD"/>
    <w:rsid w:val="005B612A"/>
    <w:rsid w:val="005B6ABD"/>
    <w:rsid w:val="005C19A3"/>
    <w:rsid w:val="005C26F4"/>
    <w:rsid w:val="005C2788"/>
    <w:rsid w:val="005C3564"/>
    <w:rsid w:val="005C39D7"/>
    <w:rsid w:val="005C4285"/>
    <w:rsid w:val="005C4A54"/>
    <w:rsid w:val="005C56E1"/>
    <w:rsid w:val="005C63EA"/>
    <w:rsid w:val="005C6C48"/>
    <w:rsid w:val="005C6EC8"/>
    <w:rsid w:val="005C7631"/>
    <w:rsid w:val="005C79B7"/>
    <w:rsid w:val="005D20C7"/>
    <w:rsid w:val="005D24D3"/>
    <w:rsid w:val="005D2DD9"/>
    <w:rsid w:val="005D2E75"/>
    <w:rsid w:val="005D39AA"/>
    <w:rsid w:val="005D3B2C"/>
    <w:rsid w:val="005D47CA"/>
    <w:rsid w:val="005D5495"/>
    <w:rsid w:val="005D5B20"/>
    <w:rsid w:val="005D5BC1"/>
    <w:rsid w:val="005D5EFA"/>
    <w:rsid w:val="005D767C"/>
    <w:rsid w:val="005E13C7"/>
    <w:rsid w:val="005E2035"/>
    <w:rsid w:val="005E2AC0"/>
    <w:rsid w:val="005E2B0C"/>
    <w:rsid w:val="005E3336"/>
    <w:rsid w:val="005E3608"/>
    <w:rsid w:val="005E4BE2"/>
    <w:rsid w:val="005E6634"/>
    <w:rsid w:val="005E70DD"/>
    <w:rsid w:val="005F0EDE"/>
    <w:rsid w:val="005F0F52"/>
    <w:rsid w:val="005F1318"/>
    <w:rsid w:val="005F1A26"/>
    <w:rsid w:val="005F23CD"/>
    <w:rsid w:val="005F2903"/>
    <w:rsid w:val="005F2A60"/>
    <w:rsid w:val="005F3DD7"/>
    <w:rsid w:val="005F4445"/>
    <w:rsid w:val="005F4EE5"/>
    <w:rsid w:val="005F5835"/>
    <w:rsid w:val="005F5BF2"/>
    <w:rsid w:val="005F71B8"/>
    <w:rsid w:val="00600CD0"/>
    <w:rsid w:val="006017DF"/>
    <w:rsid w:val="00604514"/>
    <w:rsid w:val="006046B5"/>
    <w:rsid w:val="00604753"/>
    <w:rsid w:val="00604DF9"/>
    <w:rsid w:val="006051CD"/>
    <w:rsid w:val="00606AF8"/>
    <w:rsid w:val="006101BA"/>
    <w:rsid w:val="006104EA"/>
    <w:rsid w:val="00610890"/>
    <w:rsid w:val="00611C7B"/>
    <w:rsid w:val="0061266D"/>
    <w:rsid w:val="006130C7"/>
    <w:rsid w:val="00613D54"/>
    <w:rsid w:val="0061499B"/>
    <w:rsid w:val="00614A38"/>
    <w:rsid w:val="00615F48"/>
    <w:rsid w:val="0061668D"/>
    <w:rsid w:val="00616CA9"/>
    <w:rsid w:val="00616CF6"/>
    <w:rsid w:val="006211B2"/>
    <w:rsid w:val="00621739"/>
    <w:rsid w:val="00621BE7"/>
    <w:rsid w:val="006225E4"/>
    <w:rsid w:val="00622DA2"/>
    <w:rsid w:val="00623901"/>
    <w:rsid w:val="00623B61"/>
    <w:rsid w:val="00624D17"/>
    <w:rsid w:val="00625EB7"/>
    <w:rsid w:val="006262F0"/>
    <w:rsid w:val="006265FC"/>
    <w:rsid w:val="006270B2"/>
    <w:rsid w:val="0063095E"/>
    <w:rsid w:val="00630A81"/>
    <w:rsid w:val="00630B08"/>
    <w:rsid w:val="00630DDA"/>
    <w:rsid w:val="00631E4E"/>
    <w:rsid w:val="0063215A"/>
    <w:rsid w:val="0063219F"/>
    <w:rsid w:val="0063242E"/>
    <w:rsid w:val="00632BC9"/>
    <w:rsid w:val="0063331B"/>
    <w:rsid w:val="006337C0"/>
    <w:rsid w:val="006360DC"/>
    <w:rsid w:val="00636822"/>
    <w:rsid w:val="00636AEE"/>
    <w:rsid w:val="0063748E"/>
    <w:rsid w:val="00640017"/>
    <w:rsid w:val="00640B4A"/>
    <w:rsid w:val="00641A33"/>
    <w:rsid w:val="00642C77"/>
    <w:rsid w:val="00642EA8"/>
    <w:rsid w:val="00643D39"/>
    <w:rsid w:val="00644022"/>
    <w:rsid w:val="006446D3"/>
    <w:rsid w:val="00645D23"/>
    <w:rsid w:val="00646C1E"/>
    <w:rsid w:val="0064705D"/>
    <w:rsid w:val="0064770F"/>
    <w:rsid w:val="00647AD3"/>
    <w:rsid w:val="00650A28"/>
    <w:rsid w:val="00651D2B"/>
    <w:rsid w:val="0065208A"/>
    <w:rsid w:val="006546DB"/>
    <w:rsid w:val="006562F5"/>
    <w:rsid w:val="00656538"/>
    <w:rsid w:val="00656BDC"/>
    <w:rsid w:val="006571D1"/>
    <w:rsid w:val="00657366"/>
    <w:rsid w:val="00660190"/>
    <w:rsid w:val="00662AE9"/>
    <w:rsid w:val="0066330D"/>
    <w:rsid w:val="0066391C"/>
    <w:rsid w:val="00663F43"/>
    <w:rsid w:val="006643BB"/>
    <w:rsid w:val="00664889"/>
    <w:rsid w:val="00665EAE"/>
    <w:rsid w:val="00666231"/>
    <w:rsid w:val="00666DA3"/>
    <w:rsid w:val="00670886"/>
    <w:rsid w:val="006715F1"/>
    <w:rsid w:val="00671923"/>
    <w:rsid w:val="00674EB7"/>
    <w:rsid w:val="0067629D"/>
    <w:rsid w:val="0067726B"/>
    <w:rsid w:val="006775FF"/>
    <w:rsid w:val="0068086B"/>
    <w:rsid w:val="00682185"/>
    <w:rsid w:val="00682267"/>
    <w:rsid w:val="00682329"/>
    <w:rsid w:val="00682354"/>
    <w:rsid w:val="00683F1B"/>
    <w:rsid w:val="0068728F"/>
    <w:rsid w:val="00687CDB"/>
    <w:rsid w:val="00687FCC"/>
    <w:rsid w:val="006907A7"/>
    <w:rsid w:val="00691D29"/>
    <w:rsid w:val="00693DCF"/>
    <w:rsid w:val="00694409"/>
    <w:rsid w:val="00694A03"/>
    <w:rsid w:val="00694EC9"/>
    <w:rsid w:val="00695112"/>
    <w:rsid w:val="00695E91"/>
    <w:rsid w:val="00696FB4"/>
    <w:rsid w:val="006A204A"/>
    <w:rsid w:val="006A2651"/>
    <w:rsid w:val="006A2DE3"/>
    <w:rsid w:val="006A3D01"/>
    <w:rsid w:val="006A3ED8"/>
    <w:rsid w:val="006A5B80"/>
    <w:rsid w:val="006A67CE"/>
    <w:rsid w:val="006B0777"/>
    <w:rsid w:val="006B0879"/>
    <w:rsid w:val="006B0A13"/>
    <w:rsid w:val="006B1409"/>
    <w:rsid w:val="006B17D6"/>
    <w:rsid w:val="006B2E19"/>
    <w:rsid w:val="006B2FAE"/>
    <w:rsid w:val="006B3FAF"/>
    <w:rsid w:val="006B410C"/>
    <w:rsid w:val="006B4D01"/>
    <w:rsid w:val="006B530B"/>
    <w:rsid w:val="006B5F96"/>
    <w:rsid w:val="006B666D"/>
    <w:rsid w:val="006B7462"/>
    <w:rsid w:val="006C06F6"/>
    <w:rsid w:val="006C0F2E"/>
    <w:rsid w:val="006C33F6"/>
    <w:rsid w:val="006C3CA0"/>
    <w:rsid w:val="006C3E90"/>
    <w:rsid w:val="006C4077"/>
    <w:rsid w:val="006C4B37"/>
    <w:rsid w:val="006C4C95"/>
    <w:rsid w:val="006C4D4C"/>
    <w:rsid w:val="006C56C3"/>
    <w:rsid w:val="006C6087"/>
    <w:rsid w:val="006C62FA"/>
    <w:rsid w:val="006C711E"/>
    <w:rsid w:val="006D0205"/>
    <w:rsid w:val="006D096C"/>
    <w:rsid w:val="006D17F9"/>
    <w:rsid w:val="006D1ADD"/>
    <w:rsid w:val="006D26B7"/>
    <w:rsid w:val="006D3E6A"/>
    <w:rsid w:val="006D57AC"/>
    <w:rsid w:val="006D5D4E"/>
    <w:rsid w:val="006D727F"/>
    <w:rsid w:val="006E0402"/>
    <w:rsid w:val="006E04E4"/>
    <w:rsid w:val="006E1F2B"/>
    <w:rsid w:val="006E2BC0"/>
    <w:rsid w:val="006E2EE1"/>
    <w:rsid w:val="006E2FF0"/>
    <w:rsid w:val="006E4856"/>
    <w:rsid w:val="006E6C5A"/>
    <w:rsid w:val="006E6E8F"/>
    <w:rsid w:val="006E7020"/>
    <w:rsid w:val="006E7969"/>
    <w:rsid w:val="006E79DA"/>
    <w:rsid w:val="006E7EB8"/>
    <w:rsid w:val="006E7FBC"/>
    <w:rsid w:val="006F1A48"/>
    <w:rsid w:val="006F1C89"/>
    <w:rsid w:val="006F58CF"/>
    <w:rsid w:val="006F7F07"/>
    <w:rsid w:val="0070066D"/>
    <w:rsid w:val="00700739"/>
    <w:rsid w:val="00701231"/>
    <w:rsid w:val="007023F4"/>
    <w:rsid w:val="00703854"/>
    <w:rsid w:val="0070545B"/>
    <w:rsid w:val="0070570D"/>
    <w:rsid w:val="00705A4B"/>
    <w:rsid w:val="00705DD1"/>
    <w:rsid w:val="00705F23"/>
    <w:rsid w:val="00706025"/>
    <w:rsid w:val="007062BD"/>
    <w:rsid w:val="007073B2"/>
    <w:rsid w:val="00707A6B"/>
    <w:rsid w:val="00711EBF"/>
    <w:rsid w:val="00712303"/>
    <w:rsid w:val="007128F1"/>
    <w:rsid w:val="00713622"/>
    <w:rsid w:val="007154C9"/>
    <w:rsid w:val="007160D6"/>
    <w:rsid w:val="0071676F"/>
    <w:rsid w:val="007200AC"/>
    <w:rsid w:val="00720E72"/>
    <w:rsid w:val="007214D8"/>
    <w:rsid w:val="00721C40"/>
    <w:rsid w:val="00721F0F"/>
    <w:rsid w:val="00723F5E"/>
    <w:rsid w:val="007247D6"/>
    <w:rsid w:val="0072554C"/>
    <w:rsid w:val="00726ED0"/>
    <w:rsid w:val="00730473"/>
    <w:rsid w:val="007310E1"/>
    <w:rsid w:val="00731D88"/>
    <w:rsid w:val="00731E49"/>
    <w:rsid w:val="0073225C"/>
    <w:rsid w:val="00732DC6"/>
    <w:rsid w:val="007337D1"/>
    <w:rsid w:val="00733DBE"/>
    <w:rsid w:val="00736055"/>
    <w:rsid w:val="00736A17"/>
    <w:rsid w:val="00736D91"/>
    <w:rsid w:val="00736F6A"/>
    <w:rsid w:val="007370BE"/>
    <w:rsid w:val="00741F73"/>
    <w:rsid w:val="0074375A"/>
    <w:rsid w:val="00744256"/>
    <w:rsid w:val="00744950"/>
    <w:rsid w:val="00745158"/>
    <w:rsid w:val="00745FBF"/>
    <w:rsid w:val="007467AE"/>
    <w:rsid w:val="00746C19"/>
    <w:rsid w:val="00746EAB"/>
    <w:rsid w:val="007470F6"/>
    <w:rsid w:val="007473E2"/>
    <w:rsid w:val="00747758"/>
    <w:rsid w:val="00750D08"/>
    <w:rsid w:val="0075190F"/>
    <w:rsid w:val="00751B9F"/>
    <w:rsid w:val="0075335E"/>
    <w:rsid w:val="00753C5C"/>
    <w:rsid w:val="007540B4"/>
    <w:rsid w:val="00754F14"/>
    <w:rsid w:val="0075543E"/>
    <w:rsid w:val="00755443"/>
    <w:rsid w:val="00756DEC"/>
    <w:rsid w:val="00757A33"/>
    <w:rsid w:val="00757A80"/>
    <w:rsid w:val="00757B7E"/>
    <w:rsid w:val="0076193C"/>
    <w:rsid w:val="00761BA7"/>
    <w:rsid w:val="0076224C"/>
    <w:rsid w:val="0076255C"/>
    <w:rsid w:val="00763107"/>
    <w:rsid w:val="00763D41"/>
    <w:rsid w:val="00764079"/>
    <w:rsid w:val="0076463E"/>
    <w:rsid w:val="007648BE"/>
    <w:rsid w:val="00764D52"/>
    <w:rsid w:val="00765225"/>
    <w:rsid w:val="007653B2"/>
    <w:rsid w:val="0077022E"/>
    <w:rsid w:val="007714FD"/>
    <w:rsid w:val="0077163A"/>
    <w:rsid w:val="0077173E"/>
    <w:rsid w:val="00773856"/>
    <w:rsid w:val="007740A7"/>
    <w:rsid w:val="00774B2E"/>
    <w:rsid w:val="00774F36"/>
    <w:rsid w:val="00775C67"/>
    <w:rsid w:val="00775D27"/>
    <w:rsid w:val="00777147"/>
    <w:rsid w:val="00777577"/>
    <w:rsid w:val="00777FDF"/>
    <w:rsid w:val="007802EE"/>
    <w:rsid w:val="00780B92"/>
    <w:rsid w:val="007813FB"/>
    <w:rsid w:val="00783390"/>
    <w:rsid w:val="00784150"/>
    <w:rsid w:val="00784978"/>
    <w:rsid w:val="007867F5"/>
    <w:rsid w:val="00786AE8"/>
    <w:rsid w:val="00786DD2"/>
    <w:rsid w:val="00787F5D"/>
    <w:rsid w:val="00791120"/>
    <w:rsid w:val="00793470"/>
    <w:rsid w:val="0079383B"/>
    <w:rsid w:val="007938CF"/>
    <w:rsid w:val="00795FE0"/>
    <w:rsid w:val="00796DC2"/>
    <w:rsid w:val="0079709A"/>
    <w:rsid w:val="007979BB"/>
    <w:rsid w:val="00797C37"/>
    <w:rsid w:val="007A06C4"/>
    <w:rsid w:val="007A0CE8"/>
    <w:rsid w:val="007A11FB"/>
    <w:rsid w:val="007A3D1E"/>
    <w:rsid w:val="007A3FCC"/>
    <w:rsid w:val="007A4400"/>
    <w:rsid w:val="007A689E"/>
    <w:rsid w:val="007A6C55"/>
    <w:rsid w:val="007B0969"/>
    <w:rsid w:val="007B0FA5"/>
    <w:rsid w:val="007B113E"/>
    <w:rsid w:val="007B14BD"/>
    <w:rsid w:val="007B1691"/>
    <w:rsid w:val="007B19BF"/>
    <w:rsid w:val="007B2B66"/>
    <w:rsid w:val="007B3392"/>
    <w:rsid w:val="007B38DF"/>
    <w:rsid w:val="007B3A14"/>
    <w:rsid w:val="007B4036"/>
    <w:rsid w:val="007B5D4E"/>
    <w:rsid w:val="007B6710"/>
    <w:rsid w:val="007B6D77"/>
    <w:rsid w:val="007C0F49"/>
    <w:rsid w:val="007C181C"/>
    <w:rsid w:val="007C338A"/>
    <w:rsid w:val="007C3659"/>
    <w:rsid w:val="007C384E"/>
    <w:rsid w:val="007C65C4"/>
    <w:rsid w:val="007C74C4"/>
    <w:rsid w:val="007C7C07"/>
    <w:rsid w:val="007C7D34"/>
    <w:rsid w:val="007C7F6F"/>
    <w:rsid w:val="007D015B"/>
    <w:rsid w:val="007D0418"/>
    <w:rsid w:val="007D085E"/>
    <w:rsid w:val="007D088F"/>
    <w:rsid w:val="007D0BE2"/>
    <w:rsid w:val="007D19B1"/>
    <w:rsid w:val="007D335D"/>
    <w:rsid w:val="007D48AC"/>
    <w:rsid w:val="007D55CF"/>
    <w:rsid w:val="007D67CF"/>
    <w:rsid w:val="007D7059"/>
    <w:rsid w:val="007D71FF"/>
    <w:rsid w:val="007E0C0A"/>
    <w:rsid w:val="007E3CEF"/>
    <w:rsid w:val="007E5091"/>
    <w:rsid w:val="007E54C8"/>
    <w:rsid w:val="007E623B"/>
    <w:rsid w:val="007E723F"/>
    <w:rsid w:val="007E7242"/>
    <w:rsid w:val="007E72F9"/>
    <w:rsid w:val="007E7FB1"/>
    <w:rsid w:val="007F0A9D"/>
    <w:rsid w:val="007F13B2"/>
    <w:rsid w:val="007F2B11"/>
    <w:rsid w:val="007F3261"/>
    <w:rsid w:val="007F35DD"/>
    <w:rsid w:val="007F37B3"/>
    <w:rsid w:val="007F400A"/>
    <w:rsid w:val="007F5493"/>
    <w:rsid w:val="007F59ED"/>
    <w:rsid w:val="007F5EED"/>
    <w:rsid w:val="007F67C6"/>
    <w:rsid w:val="007F70C8"/>
    <w:rsid w:val="007F7F55"/>
    <w:rsid w:val="0080003D"/>
    <w:rsid w:val="008025F5"/>
    <w:rsid w:val="00803AF1"/>
    <w:rsid w:val="00804C1A"/>
    <w:rsid w:val="00804D94"/>
    <w:rsid w:val="0080665A"/>
    <w:rsid w:val="008069E9"/>
    <w:rsid w:val="00806F37"/>
    <w:rsid w:val="00807A13"/>
    <w:rsid w:val="00807A61"/>
    <w:rsid w:val="008100CC"/>
    <w:rsid w:val="00810E3D"/>
    <w:rsid w:val="00811463"/>
    <w:rsid w:val="0081180C"/>
    <w:rsid w:val="00811A43"/>
    <w:rsid w:val="00814DBA"/>
    <w:rsid w:val="00816919"/>
    <w:rsid w:val="00821479"/>
    <w:rsid w:val="00821CAB"/>
    <w:rsid w:val="008221EB"/>
    <w:rsid w:val="008229B7"/>
    <w:rsid w:val="0082312B"/>
    <w:rsid w:val="00823422"/>
    <w:rsid w:val="008235DE"/>
    <w:rsid w:val="0082482E"/>
    <w:rsid w:val="00824D85"/>
    <w:rsid w:val="0082550A"/>
    <w:rsid w:val="008271AD"/>
    <w:rsid w:val="00827732"/>
    <w:rsid w:val="008314BD"/>
    <w:rsid w:val="00831B51"/>
    <w:rsid w:val="00832967"/>
    <w:rsid w:val="008339D4"/>
    <w:rsid w:val="0083699D"/>
    <w:rsid w:val="00837FFD"/>
    <w:rsid w:val="008410D2"/>
    <w:rsid w:val="00842404"/>
    <w:rsid w:val="00842480"/>
    <w:rsid w:val="00842595"/>
    <w:rsid w:val="00842A62"/>
    <w:rsid w:val="00843B2C"/>
    <w:rsid w:val="0084525F"/>
    <w:rsid w:val="0084530C"/>
    <w:rsid w:val="0084677D"/>
    <w:rsid w:val="00850583"/>
    <w:rsid w:val="0085203C"/>
    <w:rsid w:val="008520A5"/>
    <w:rsid w:val="00852583"/>
    <w:rsid w:val="008525D6"/>
    <w:rsid w:val="008526F6"/>
    <w:rsid w:val="0085281E"/>
    <w:rsid w:val="008528A9"/>
    <w:rsid w:val="008531DD"/>
    <w:rsid w:val="0085389D"/>
    <w:rsid w:val="00853E88"/>
    <w:rsid w:val="0085426B"/>
    <w:rsid w:val="0085488E"/>
    <w:rsid w:val="008549E3"/>
    <w:rsid w:val="00854B0B"/>
    <w:rsid w:val="00855167"/>
    <w:rsid w:val="008568E4"/>
    <w:rsid w:val="00856D9A"/>
    <w:rsid w:val="008572F6"/>
    <w:rsid w:val="00861E6E"/>
    <w:rsid w:val="008630D2"/>
    <w:rsid w:val="0086387D"/>
    <w:rsid w:val="0086450F"/>
    <w:rsid w:val="008670F5"/>
    <w:rsid w:val="00867C47"/>
    <w:rsid w:val="008713D7"/>
    <w:rsid w:val="00872FDE"/>
    <w:rsid w:val="00873341"/>
    <w:rsid w:val="008734EE"/>
    <w:rsid w:val="008739EC"/>
    <w:rsid w:val="008745B4"/>
    <w:rsid w:val="008748D1"/>
    <w:rsid w:val="00875D18"/>
    <w:rsid w:val="00880AA8"/>
    <w:rsid w:val="008812F9"/>
    <w:rsid w:val="0088167D"/>
    <w:rsid w:val="008826B9"/>
    <w:rsid w:val="00882755"/>
    <w:rsid w:val="008831A1"/>
    <w:rsid w:val="00883461"/>
    <w:rsid w:val="00883472"/>
    <w:rsid w:val="00883B21"/>
    <w:rsid w:val="00883B3E"/>
    <w:rsid w:val="008840E7"/>
    <w:rsid w:val="008841D8"/>
    <w:rsid w:val="00884394"/>
    <w:rsid w:val="00884540"/>
    <w:rsid w:val="00885A1C"/>
    <w:rsid w:val="008861A0"/>
    <w:rsid w:val="00886684"/>
    <w:rsid w:val="00890AC3"/>
    <w:rsid w:val="00891086"/>
    <w:rsid w:val="008917D1"/>
    <w:rsid w:val="00891C8A"/>
    <w:rsid w:val="00891CF1"/>
    <w:rsid w:val="00891D54"/>
    <w:rsid w:val="00892055"/>
    <w:rsid w:val="00892B4C"/>
    <w:rsid w:val="00892B93"/>
    <w:rsid w:val="0089560E"/>
    <w:rsid w:val="00896074"/>
    <w:rsid w:val="008A0AFA"/>
    <w:rsid w:val="008A0F26"/>
    <w:rsid w:val="008A317A"/>
    <w:rsid w:val="008A456D"/>
    <w:rsid w:val="008A4681"/>
    <w:rsid w:val="008A69C0"/>
    <w:rsid w:val="008A76F7"/>
    <w:rsid w:val="008B086A"/>
    <w:rsid w:val="008B3314"/>
    <w:rsid w:val="008B3745"/>
    <w:rsid w:val="008B53E2"/>
    <w:rsid w:val="008B56B0"/>
    <w:rsid w:val="008B6507"/>
    <w:rsid w:val="008B6E77"/>
    <w:rsid w:val="008C1250"/>
    <w:rsid w:val="008C14F4"/>
    <w:rsid w:val="008C27EC"/>
    <w:rsid w:val="008C33CD"/>
    <w:rsid w:val="008C3698"/>
    <w:rsid w:val="008C4489"/>
    <w:rsid w:val="008C44D4"/>
    <w:rsid w:val="008C5823"/>
    <w:rsid w:val="008D05A6"/>
    <w:rsid w:val="008D05C7"/>
    <w:rsid w:val="008D06E8"/>
    <w:rsid w:val="008D245D"/>
    <w:rsid w:val="008D3EDB"/>
    <w:rsid w:val="008D3EE7"/>
    <w:rsid w:val="008D64C9"/>
    <w:rsid w:val="008D6CE0"/>
    <w:rsid w:val="008D6D15"/>
    <w:rsid w:val="008D767D"/>
    <w:rsid w:val="008D7983"/>
    <w:rsid w:val="008D7A4B"/>
    <w:rsid w:val="008E024C"/>
    <w:rsid w:val="008E032D"/>
    <w:rsid w:val="008E038A"/>
    <w:rsid w:val="008E0802"/>
    <w:rsid w:val="008E14E6"/>
    <w:rsid w:val="008E1F6E"/>
    <w:rsid w:val="008E22F3"/>
    <w:rsid w:val="008E2657"/>
    <w:rsid w:val="008E2F4A"/>
    <w:rsid w:val="008E333C"/>
    <w:rsid w:val="008E36E6"/>
    <w:rsid w:val="008E3864"/>
    <w:rsid w:val="008E4B94"/>
    <w:rsid w:val="008E6C39"/>
    <w:rsid w:val="008E7718"/>
    <w:rsid w:val="008F00E5"/>
    <w:rsid w:val="008F05EF"/>
    <w:rsid w:val="008F2BFE"/>
    <w:rsid w:val="008F3D26"/>
    <w:rsid w:val="008F4AA6"/>
    <w:rsid w:val="008F4E7C"/>
    <w:rsid w:val="008F594C"/>
    <w:rsid w:val="008F62FA"/>
    <w:rsid w:val="008F6937"/>
    <w:rsid w:val="008F7A17"/>
    <w:rsid w:val="00901025"/>
    <w:rsid w:val="00902040"/>
    <w:rsid w:val="0090206A"/>
    <w:rsid w:val="009024D1"/>
    <w:rsid w:val="00902719"/>
    <w:rsid w:val="0090284A"/>
    <w:rsid w:val="00902CDD"/>
    <w:rsid w:val="00904012"/>
    <w:rsid w:val="00904F40"/>
    <w:rsid w:val="00906426"/>
    <w:rsid w:val="009077C1"/>
    <w:rsid w:val="00911D4F"/>
    <w:rsid w:val="009129D2"/>
    <w:rsid w:val="009133ED"/>
    <w:rsid w:val="00914556"/>
    <w:rsid w:val="00914C6F"/>
    <w:rsid w:val="00914E19"/>
    <w:rsid w:val="009162AB"/>
    <w:rsid w:val="0091630E"/>
    <w:rsid w:val="00916660"/>
    <w:rsid w:val="00916AD3"/>
    <w:rsid w:val="0091762A"/>
    <w:rsid w:val="00920327"/>
    <w:rsid w:val="00921A4A"/>
    <w:rsid w:val="00921BD2"/>
    <w:rsid w:val="00923FFD"/>
    <w:rsid w:val="0092512A"/>
    <w:rsid w:val="009251F2"/>
    <w:rsid w:val="00925CE1"/>
    <w:rsid w:val="00925D62"/>
    <w:rsid w:val="00926136"/>
    <w:rsid w:val="00926807"/>
    <w:rsid w:val="00926B29"/>
    <w:rsid w:val="009301AD"/>
    <w:rsid w:val="009308EE"/>
    <w:rsid w:val="00930A5F"/>
    <w:rsid w:val="00932F19"/>
    <w:rsid w:val="009333AB"/>
    <w:rsid w:val="00933E02"/>
    <w:rsid w:val="00933EBE"/>
    <w:rsid w:val="00935321"/>
    <w:rsid w:val="009356F3"/>
    <w:rsid w:val="00936AE4"/>
    <w:rsid w:val="00937381"/>
    <w:rsid w:val="00940216"/>
    <w:rsid w:val="00940BA9"/>
    <w:rsid w:val="0094141A"/>
    <w:rsid w:val="00941BB9"/>
    <w:rsid w:val="00942E87"/>
    <w:rsid w:val="00943152"/>
    <w:rsid w:val="00944785"/>
    <w:rsid w:val="009448A1"/>
    <w:rsid w:val="0094552F"/>
    <w:rsid w:val="00946492"/>
    <w:rsid w:val="0094726F"/>
    <w:rsid w:val="00947599"/>
    <w:rsid w:val="009502B6"/>
    <w:rsid w:val="00950666"/>
    <w:rsid w:val="00950789"/>
    <w:rsid w:val="00950930"/>
    <w:rsid w:val="0095126E"/>
    <w:rsid w:val="0095130B"/>
    <w:rsid w:val="00952CFE"/>
    <w:rsid w:val="0095306B"/>
    <w:rsid w:val="009531E7"/>
    <w:rsid w:val="0095328E"/>
    <w:rsid w:val="00953394"/>
    <w:rsid w:val="00953CE6"/>
    <w:rsid w:val="00954496"/>
    <w:rsid w:val="009549C2"/>
    <w:rsid w:val="009552FF"/>
    <w:rsid w:val="00955581"/>
    <w:rsid w:val="009561C8"/>
    <w:rsid w:val="009562DB"/>
    <w:rsid w:val="0095635B"/>
    <w:rsid w:val="00957924"/>
    <w:rsid w:val="00960305"/>
    <w:rsid w:val="00960458"/>
    <w:rsid w:val="00960897"/>
    <w:rsid w:val="00960DA2"/>
    <w:rsid w:val="00962837"/>
    <w:rsid w:val="0096484F"/>
    <w:rsid w:val="00965D46"/>
    <w:rsid w:val="009661E9"/>
    <w:rsid w:val="00966508"/>
    <w:rsid w:val="00966FCF"/>
    <w:rsid w:val="00967B6D"/>
    <w:rsid w:val="009713BB"/>
    <w:rsid w:val="009719DB"/>
    <w:rsid w:val="00971DD7"/>
    <w:rsid w:val="00972139"/>
    <w:rsid w:val="00972CB2"/>
    <w:rsid w:val="00973070"/>
    <w:rsid w:val="00973716"/>
    <w:rsid w:val="009737AC"/>
    <w:rsid w:val="00973916"/>
    <w:rsid w:val="0097405A"/>
    <w:rsid w:val="00974353"/>
    <w:rsid w:val="009766CE"/>
    <w:rsid w:val="0097672C"/>
    <w:rsid w:val="00977308"/>
    <w:rsid w:val="009775B2"/>
    <w:rsid w:val="00977658"/>
    <w:rsid w:val="009779B7"/>
    <w:rsid w:val="00980536"/>
    <w:rsid w:val="009825B8"/>
    <w:rsid w:val="00983331"/>
    <w:rsid w:val="009835B0"/>
    <w:rsid w:val="00983FF6"/>
    <w:rsid w:val="00985FBD"/>
    <w:rsid w:val="00986270"/>
    <w:rsid w:val="009868DC"/>
    <w:rsid w:val="009869E5"/>
    <w:rsid w:val="00987C36"/>
    <w:rsid w:val="009905C6"/>
    <w:rsid w:val="00991AE6"/>
    <w:rsid w:val="00992A9E"/>
    <w:rsid w:val="00992DF5"/>
    <w:rsid w:val="00992E8A"/>
    <w:rsid w:val="00992F24"/>
    <w:rsid w:val="00994008"/>
    <w:rsid w:val="0099610E"/>
    <w:rsid w:val="00996EAE"/>
    <w:rsid w:val="009970D6"/>
    <w:rsid w:val="00997E45"/>
    <w:rsid w:val="009A00C1"/>
    <w:rsid w:val="009A2CDD"/>
    <w:rsid w:val="009A2EFA"/>
    <w:rsid w:val="009A2F18"/>
    <w:rsid w:val="009A31E7"/>
    <w:rsid w:val="009A3311"/>
    <w:rsid w:val="009A34F7"/>
    <w:rsid w:val="009A37AC"/>
    <w:rsid w:val="009A3A9F"/>
    <w:rsid w:val="009A431B"/>
    <w:rsid w:val="009A6656"/>
    <w:rsid w:val="009A74D7"/>
    <w:rsid w:val="009B0A14"/>
    <w:rsid w:val="009B1A42"/>
    <w:rsid w:val="009B1E30"/>
    <w:rsid w:val="009B2B90"/>
    <w:rsid w:val="009B3BC5"/>
    <w:rsid w:val="009B3F4D"/>
    <w:rsid w:val="009B6360"/>
    <w:rsid w:val="009B6A3B"/>
    <w:rsid w:val="009C03FF"/>
    <w:rsid w:val="009C1B2B"/>
    <w:rsid w:val="009C3B88"/>
    <w:rsid w:val="009C4152"/>
    <w:rsid w:val="009C4C0C"/>
    <w:rsid w:val="009C4FA0"/>
    <w:rsid w:val="009C5B1E"/>
    <w:rsid w:val="009C5C46"/>
    <w:rsid w:val="009C65F7"/>
    <w:rsid w:val="009C6705"/>
    <w:rsid w:val="009C7B57"/>
    <w:rsid w:val="009D03D5"/>
    <w:rsid w:val="009D147F"/>
    <w:rsid w:val="009D1912"/>
    <w:rsid w:val="009D21F3"/>
    <w:rsid w:val="009D2301"/>
    <w:rsid w:val="009D615F"/>
    <w:rsid w:val="009D66AF"/>
    <w:rsid w:val="009D7D5B"/>
    <w:rsid w:val="009E13D3"/>
    <w:rsid w:val="009E252E"/>
    <w:rsid w:val="009E2A91"/>
    <w:rsid w:val="009E3224"/>
    <w:rsid w:val="009E4174"/>
    <w:rsid w:val="009E417F"/>
    <w:rsid w:val="009E5430"/>
    <w:rsid w:val="009E5A03"/>
    <w:rsid w:val="009E7C6A"/>
    <w:rsid w:val="009F0031"/>
    <w:rsid w:val="009F22F2"/>
    <w:rsid w:val="009F2438"/>
    <w:rsid w:val="009F48EB"/>
    <w:rsid w:val="009F581B"/>
    <w:rsid w:val="009F7B1B"/>
    <w:rsid w:val="009F7CFB"/>
    <w:rsid w:val="009F7F83"/>
    <w:rsid w:val="00A00D96"/>
    <w:rsid w:val="00A01F3A"/>
    <w:rsid w:val="00A026F5"/>
    <w:rsid w:val="00A02FC6"/>
    <w:rsid w:val="00A0336D"/>
    <w:rsid w:val="00A05677"/>
    <w:rsid w:val="00A0717C"/>
    <w:rsid w:val="00A071DA"/>
    <w:rsid w:val="00A07941"/>
    <w:rsid w:val="00A11BBA"/>
    <w:rsid w:val="00A13E0C"/>
    <w:rsid w:val="00A140A0"/>
    <w:rsid w:val="00A148C4"/>
    <w:rsid w:val="00A15171"/>
    <w:rsid w:val="00A1560E"/>
    <w:rsid w:val="00A157D7"/>
    <w:rsid w:val="00A1753C"/>
    <w:rsid w:val="00A20A25"/>
    <w:rsid w:val="00A210E7"/>
    <w:rsid w:val="00A211B3"/>
    <w:rsid w:val="00A22F53"/>
    <w:rsid w:val="00A23ABC"/>
    <w:rsid w:val="00A240D8"/>
    <w:rsid w:val="00A24632"/>
    <w:rsid w:val="00A2776B"/>
    <w:rsid w:val="00A27C2E"/>
    <w:rsid w:val="00A30360"/>
    <w:rsid w:val="00A3052E"/>
    <w:rsid w:val="00A32DF6"/>
    <w:rsid w:val="00A3362A"/>
    <w:rsid w:val="00A346DE"/>
    <w:rsid w:val="00A354D1"/>
    <w:rsid w:val="00A35A7C"/>
    <w:rsid w:val="00A35B10"/>
    <w:rsid w:val="00A37B61"/>
    <w:rsid w:val="00A4100A"/>
    <w:rsid w:val="00A41846"/>
    <w:rsid w:val="00A4253B"/>
    <w:rsid w:val="00A42849"/>
    <w:rsid w:val="00A43299"/>
    <w:rsid w:val="00A43B10"/>
    <w:rsid w:val="00A43DD2"/>
    <w:rsid w:val="00A44193"/>
    <w:rsid w:val="00A46A39"/>
    <w:rsid w:val="00A46CED"/>
    <w:rsid w:val="00A47299"/>
    <w:rsid w:val="00A472FE"/>
    <w:rsid w:val="00A47C56"/>
    <w:rsid w:val="00A50887"/>
    <w:rsid w:val="00A50E87"/>
    <w:rsid w:val="00A51559"/>
    <w:rsid w:val="00A5280B"/>
    <w:rsid w:val="00A52AD2"/>
    <w:rsid w:val="00A54325"/>
    <w:rsid w:val="00A54F13"/>
    <w:rsid w:val="00A5519A"/>
    <w:rsid w:val="00A5543A"/>
    <w:rsid w:val="00A55EB3"/>
    <w:rsid w:val="00A56CA7"/>
    <w:rsid w:val="00A612A9"/>
    <w:rsid w:val="00A6138A"/>
    <w:rsid w:val="00A61462"/>
    <w:rsid w:val="00A63CA6"/>
    <w:rsid w:val="00A646B8"/>
    <w:rsid w:val="00A677AB"/>
    <w:rsid w:val="00A6791D"/>
    <w:rsid w:val="00A700C3"/>
    <w:rsid w:val="00A70349"/>
    <w:rsid w:val="00A70ED7"/>
    <w:rsid w:val="00A71D8A"/>
    <w:rsid w:val="00A72D02"/>
    <w:rsid w:val="00A7397A"/>
    <w:rsid w:val="00A75568"/>
    <w:rsid w:val="00A75DCC"/>
    <w:rsid w:val="00A76222"/>
    <w:rsid w:val="00A764BA"/>
    <w:rsid w:val="00A76C51"/>
    <w:rsid w:val="00A77283"/>
    <w:rsid w:val="00A774C4"/>
    <w:rsid w:val="00A80270"/>
    <w:rsid w:val="00A816E9"/>
    <w:rsid w:val="00A82AE4"/>
    <w:rsid w:val="00A82BAE"/>
    <w:rsid w:val="00A85C00"/>
    <w:rsid w:val="00A874EC"/>
    <w:rsid w:val="00A90340"/>
    <w:rsid w:val="00A90EE3"/>
    <w:rsid w:val="00A91E8B"/>
    <w:rsid w:val="00A92169"/>
    <w:rsid w:val="00A93422"/>
    <w:rsid w:val="00A943B7"/>
    <w:rsid w:val="00A963EC"/>
    <w:rsid w:val="00A9641B"/>
    <w:rsid w:val="00A96588"/>
    <w:rsid w:val="00A968AD"/>
    <w:rsid w:val="00A97969"/>
    <w:rsid w:val="00A97C2F"/>
    <w:rsid w:val="00AA011D"/>
    <w:rsid w:val="00AA1DE0"/>
    <w:rsid w:val="00AA2993"/>
    <w:rsid w:val="00AA2CD1"/>
    <w:rsid w:val="00AA332D"/>
    <w:rsid w:val="00AA385A"/>
    <w:rsid w:val="00AA5880"/>
    <w:rsid w:val="00AA6991"/>
    <w:rsid w:val="00AA7E34"/>
    <w:rsid w:val="00AB0A93"/>
    <w:rsid w:val="00AB12C8"/>
    <w:rsid w:val="00AB2CE5"/>
    <w:rsid w:val="00AB49BD"/>
    <w:rsid w:val="00AB4EE4"/>
    <w:rsid w:val="00AB559F"/>
    <w:rsid w:val="00AB575C"/>
    <w:rsid w:val="00AB7070"/>
    <w:rsid w:val="00AB75EC"/>
    <w:rsid w:val="00AB78CF"/>
    <w:rsid w:val="00AC04A0"/>
    <w:rsid w:val="00AC3732"/>
    <w:rsid w:val="00AC37DD"/>
    <w:rsid w:val="00AC3D14"/>
    <w:rsid w:val="00AC45B4"/>
    <w:rsid w:val="00AC4612"/>
    <w:rsid w:val="00AC4E51"/>
    <w:rsid w:val="00AC5580"/>
    <w:rsid w:val="00AC657E"/>
    <w:rsid w:val="00AC75D2"/>
    <w:rsid w:val="00AC7638"/>
    <w:rsid w:val="00AD348A"/>
    <w:rsid w:val="00AD38D7"/>
    <w:rsid w:val="00AD46ED"/>
    <w:rsid w:val="00AD4BB9"/>
    <w:rsid w:val="00AD5375"/>
    <w:rsid w:val="00AD5A33"/>
    <w:rsid w:val="00AD5A8C"/>
    <w:rsid w:val="00AD6F97"/>
    <w:rsid w:val="00AD71A9"/>
    <w:rsid w:val="00AD7258"/>
    <w:rsid w:val="00AE0B15"/>
    <w:rsid w:val="00AE1879"/>
    <w:rsid w:val="00AE20D0"/>
    <w:rsid w:val="00AE211F"/>
    <w:rsid w:val="00AE2120"/>
    <w:rsid w:val="00AE238E"/>
    <w:rsid w:val="00AE2F7D"/>
    <w:rsid w:val="00AE46F3"/>
    <w:rsid w:val="00AE58F4"/>
    <w:rsid w:val="00AE5CBC"/>
    <w:rsid w:val="00AE5D58"/>
    <w:rsid w:val="00AE64B0"/>
    <w:rsid w:val="00AE7824"/>
    <w:rsid w:val="00AF202B"/>
    <w:rsid w:val="00AF2B98"/>
    <w:rsid w:val="00AF3F32"/>
    <w:rsid w:val="00AF4A5B"/>
    <w:rsid w:val="00AF7469"/>
    <w:rsid w:val="00B00351"/>
    <w:rsid w:val="00B00359"/>
    <w:rsid w:val="00B0111A"/>
    <w:rsid w:val="00B01575"/>
    <w:rsid w:val="00B01B2C"/>
    <w:rsid w:val="00B02909"/>
    <w:rsid w:val="00B038D7"/>
    <w:rsid w:val="00B059E4"/>
    <w:rsid w:val="00B05FC2"/>
    <w:rsid w:val="00B064A5"/>
    <w:rsid w:val="00B07322"/>
    <w:rsid w:val="00B07E84"/>
    <w:rsid w:val="00B10025"/>
    <w:rsid w:val="00B10681"/>
    <w:rsid w:val="00B10B2B"/>
    <w:rsid w:val="00B119B1"/>
    <w:rsid w:val="00B11D6E"/>
    <w:rsid w:val="00B12846"/>
    <w:rsid w:val="00B13399"/>
    <w:rsid w:val="00B13B3C"/>
    <w:rsid w:val="00B14727"/>
    <w:rsid w:val="00B1609B"/>
    <w:rsid w:val="00B21718"/>
    <w:rsid w:val="00B21EEE"/>
    <w:rsid w:val="00B22B94"/>
    <w:rsid w:val="00B236C6"/>
    <w:rsid w:val="00B24527"/>
    <w:rsid w:val="00B24B9D"/>
    <w:rsid w:val="00B25755"/>
    <w:rsid w:val="00B26396"/>
    <w:rsid w:val="00B263A8"/>
    <w:rsid w:val="00B266F8"/>
    <w:rsid w:val="00B2684B"/>
    <w:rsid w:val="00B307D5"/>
    <w:rsid w:val="00B324B0"/>
    <w:rsid w:val="00B32786"/>
    <w:rsid w:val="00B33D2E"/>
    <w:rsid w:val="00B356E2"/>
    <w:rsid w:val="00B35FF6"/>
    <w:rsid w:val="00B37517"/>
    <w:rsid w:val="00B375EF"/>
    <w:rsid w:val="00B407D9"/>
    <w:rsid w:val="00B4298B"/>
    <w:rsid w:val="00B434A7"/>
    <w:rsid w:val="00B43784"/>
    <w:rsid w:val="00B4435B"/>
    <w:rsid w:val="00B44677"/>
    <w:rsid w:val="00B44F39"/>
    <w:rsid w:val="00B478DB"/>
    <w:rsid w:val="00B51848"/>
    <w:rsid w:val="00B52916"/>
    <w:rsid w:val="00B52F6C"/>
    <w:rsid w:val="00B53A5D"/>
    <w:rsid w:val="00B53B57"/>
    <w:rsid w:val="00B53FBE"/>
    <w:rsid w:val="00B543A4"/>
    <w:rsid w:val="00B54897"/>
    <w:rsid w:val="00B56E66"/>
    <w:rsid w:val="00B56FD0"/>
    <w:rsid w:val="00B60862"/>
    <w:rsid w:val="00B610B1"/>
    <w:rsid w:val="00B616FB"/>
    <w:rsid w:val="00B61BEB"/>
    <w:rsid w:val="00B61F79"/>
    <w:rsid w:val="00B6271F"/>
    <w:rsid w:val="00B63117"/>
    <w:rsid w:val="00B6394D"/>
    <w:rsid w:val="00B649F7"/>
    <w:rsid w:val="00B653ED"/>
    <w:rsid w:val="00B66277"/>
    <w:rsid w:val="00B66813"/>
    <w:rsid w:val="00B66883"/>
    <w:rsid w:val="00B669A5"/>
    <w:rsid w:val="00B67AEE"/>
    <w:rsid w:val="00B67B2E"/>
    <w:rsid w:val="00B705EB"/>
    <w:rsid w:val="00B7172C"/>
    <w:rsid w:val="00B73151"/>
    <w:rsid w:val="00B734E5"/>
    <w:rsid w:val="00B739E3"/>
    <w:rsid w:val="00B743C4"/>
    <w:rsid w:val="00B75E38"/>
    <w:rsid w:val="00B76698"/>
    <w:rsid w:val="00B76AD6"/>
    <w:rsid w:val="00B80F62"/>
    <w:rsid w:val="00B81139"/>
    <w:rsid w:val="00B815BB"/>
    <w:rsid w:val="00B81864"/>
    <w:rsid w:val="00B81D2B"/>
    <w:rsid w:val="00B81F68"/>
    <w:rsid w:val="00B82850"/>
    <w:rsid w:val="00B82CEC"/>
    <w:rsid w:val="00B83AA0"/>
    <w:rsid w:val="00B85A5A"/>
    <w:rsid w:val="00B86027"/>
    <w:rsid w:val="00B86C1F"/>
    <w:rsid w:val="00B8764B"/>
    <w:rsid w:val="00B87715"/>
    <w:rsid w:val="00B90407"/>
    <w:rsid w:val="00B91AC3"/>
    <w:rsid w:val="00B91B4F"/>
    <w:rsid w:val="00B9271F"/>
    <w:rsid w:val="00B93127"/>
    <w:rsid w:val="00B93385"/>
    <w:rsid w:val="00B937A8"/>
    <w:rsid w:val="00B93D2F"/>
    <w:rsid w:val="00B93F62"/>
    <w:rsid w:val="00B9488A"/>
    <w:rsid w:val="00B94B2C"/>
    <w:rsid w:val="00B957A9"/>
    <w:rsid w:val="00B95F91"/>
    <w:rsid w:val="00B976B9"/>
    <w:rsid w:val="00BA0047"/>
    <w:rsid w:val="00BA0378"/>
    <w:rsid w:val="00BA0913"/>
    <w:rsid w:val="00BA0C5F"/>
    <w:rsid w:val="00BA1BA1"/>
    <w:rsid w:val="00BA2294"/>
    <w:rsid w:val="00BA3BA2"/>
    <w:rsid w:val="00BA58D6"/>
    <w:rsid w:val="00BA60D1"/>
    <w:rsid w:val="00BA62F3"/>
    <w:rsid w:val="00BA63FC"/>
    <w:rsid w:val="00BA7622"/>
    <w:rsid w:val="00BB0445"/>
    <w:rsid w:val="00BB06DF"/>
    <w:rsid w:val="00BB0E58"/>
    <w:rsid w:val="00BB1F84"/>
    <w:rsid w:val="00BB2CF1"/>
    <w:rsid w:val="00BB3A68"/>
    <w:rsid w:val="00BB3C89"/>
    <w:rsid w:val="00BB5766"/>
    <w:rsid w:val="00BB5EC2"/>
    <w:rsid w:val="00BB67DE"/>
    <w:rsid w:val="00BB69DA"/>
    <w:rsid w:val="00BB7014"/>
    <w:rsid w:val="00BC129C"/>
    <w:rsid w:val="00BC23FB"/>
    <w:rsid w:val="00BC2B45"/>
    <w:rsid w:val="00BC2CF6"/>
    <w:rsid w:val="00BC36D7"/>
    <w:rsid w:val="00BC398D"/>
    <w:rsid w:val="00BC3BAE"/>
    <w:rsid w:val="00BC4110"/>
    <w:rsid w:val="00BC4BA5"/>
    <w:rsid w:val="00BC592F"/>
    <w:rsid w:val="00BC6701"/>
    <w:rsid w:val="00BC6A39"/>
    <w:rsid w:val="00BC7272"/>
    <w:rsid w:val="00BC797E"/>
    <w:rsid w:val="00BC7EC5"/>
    <w:rsid w:val="00BD13CB"/>
    <w:rsid w:val="00BD24C4"/>
    <w:rsid w:val="00BD2649"/>
    <w:rsid w:val="00BD3B34"/>
    <w:rsid w:val="00BD3B51"/>
    <w:rsid w:val="00BD4CC9"/>
    <w:rsid w:val="00BD6541"/>
    <w:rsid w:val="00BD7B0E"/>
    <w:rsid w:val="00BE06CF"/>
    <w:rsid w:val="00BE1177"/>
    <w:rsid w:val="00BE1A83"/>
    <w:rsid w:val="00BE2426"/>
    <w:rsid w:val="00BE2CBE"/>
    <w:rsid w:val="00BE3990"/>
    <w:rsid w:val="00BE3F2A"/>
    <w:rsid w:val="00BE5715"/>
    <w:rsid w:val="00BE6662"/>
    <w:rsid w:val="00BE6964"/>
    <w:rsid w:val="00BE707B"/>
    <w:rsid w:val="00BE7471"/>
    <w:rsid w:val="00BE7782"/>
    <w:rsid w:val="00BE77C6"/>
    <w:rsid w:val="00BF0873"/>
    <w:rsid w:val="00BF0A7A"/>
    <w:rsid w:val="00BF127B"/>
    <w:rsid w:val="00BF214F"/>
    <w:rsid w:val="00BF3535"/>
    <w:rsid w:val="00BF3961"/>
    <w:rsid w:val="00BF4C69"/>
    <w:rsid w:val="00BF507B"/>
    <w:rsid w:val="00BF5512"/>
    <w:rsid w:val="00BF65B8"/>
    <w:rsid w:val="00C00A3A"/>
    <w:rsid w:val="00C01A16"/>
    <w:rsid w:val="00C02CEC"/>
    <w:rsid w:val="00C039CF"/>
    <w:rsid w:val="00C05BD3"/>
    <w:rsid w:val="00C066A0"/>
    <w:rsid w:val="00C06D89"/>
    <w:rsid w:val="00C07931"/>
    <w:rsid w:val="00C105A8"/>
    <w:rsid w:val="00C11D5C"/>
    <w:rsid w:val="00C11FF5"/>
    <w:rsid w:val="00C128D6"/>
    <w:rsid w:val="00C13B48"/>
    <w:rsid w:val="00C2075C"/>
    <w:rsid w:val="00C20E29"/>
    <w:rsid w:val="00C21CBF"/>
    <w:rsid w:val="00C2225E"/>
    <w:rsid w:val="00C2236B"/>
    <w:rsid w:val="00C22CF5"/>
    <w:rsid w:val="00C240D8"/>
    <w:rsid w:val="00C27368"/>
    <w:rsid w:val="00C3251C"/>
    <w:rsid w:val="00C32C2F"/>
    <w:rsid w:val="00C32F20"/>
    <w:rsid w:val="00C3422A"/>
    <w:rsid w:val="00C3435E"/>
    <w:rsid w:val="00C344B5"/>
    <w:rsid w:val="00C3594E"/>
    <w:rsid w:val="00C36F18"/>
    <w:rsid w:val="00C36F6F"/>
    <w:rsid w:val="00C37C7F"/>
    <w:rsid w:val="00C40A6F"/>
    <w:rsid w:val="00C43A2E"/>
    <w:rsid w:val="00C450E5"/>
    <w:rsid w:val="00C4571D"/>
    <w:rsid w:val="00C458BE"/>
    <w:rsid w:val="00C46622"/>
    <w:rsid w:val="00C4666D"/>
    <w:rsid w:val="00C46A5F"/>
    <w:rsid w:val="00C47447"/>
    <w:rsid w:val="00C474A5"/>
    <w:rsid w:val="00C507F2"/>
    <w:rsid w:val="00C50B88"/>
    <w:rsid w:val="00C50C83"/>
    <w:rsid w:val="00C51D47"/>
    <w:rsid w:val="00C51F49"/>
    <w:rsid w:val="00C52469"/>
    <w:rsid w:val="00C5292B"/>
    <w:rsid w:val="00C53366"/>
    <w:rsid w:val="00C53B5A"/>
    <w:rsid w:val="00C54AE0"/>
    <w:rsid w:val="00C54EDA"/>
    <w:rsid w:val="00C55B52"/>
    <w:rsid w:val="00C613A6"/>
    <w:rsid w:val="00C61912"/>
    <w:rsid w:val="00C62318"/>
    <w:rsid w:val="00C65782"/>
    <w:rsid w:val="00C657FF"/>
    <w:rsid w:val="00C70686"/>
    <w:rsid w:val="00C711E6"/>
    <w:rsid w:val="00C71F81"/>
    <w:rsid w:val="00C7267F"/>
    <w:rsid w:val="00C73050"/>
    <w:rsid w:val="00C735E3"/>
    <w:rsid w:val="00C740D6"/>
    <w:rsid w:val="00C76D5B"/>
    <w:rsid w:val="00C770E7"/>
    <w:rsid w:val="00C77B69"/>
    <w:rsid w:val="00C77F73"/>
    <w:rsid w:val="00C81B0D"/>
    <w:rsid w:val="00C8245D"/>
    <w:rsid w:val="00C8262A"/>
    <w:rsid w:val="00C83FA1"/>
    <w:rsid w:val="00C852A6"/>
    <w:rsid w:val="00C85BBE"/>
    <w:rsid w:val="00C8600F"/>
    <w:rsid w:val="00C86B25"/>
    <w:rsid w:val="00C86C89"/>
    <w:rsid w:val="00C90E27"/>
    <w:rsid w:val="00C913D5"/>
    <w:rsid w:val="00C913E2"/>
    <w:rsid w:val="00C916B3"/>
    <w:rsid w:val="00C94183"/>
    <w:rsid w:val="00C950E5"/>
    <w:rsid w:val="00C96241"/>
    <w:rsid w:val="00C965F0"/>
    <w:rsid w:val="00C96D4E"/>
    <w:rsid w:val="00C97019"/>
    <w:rsid w:val="00C97F35"/>
    <w:rsid w:val="00CA0772"/>
    <w:rsid w:val="00CA0918"/>
    <w:rsid w:val="00CA0BD4"/>
    <w:rsid w:val="00CA121A"/>
    <w:rsid w:val="00CA173E"/>
    <w:rsid w:val="00CA1BF3"/>
    <w:rsid w:val="00CA2713"/>
    <w:rsid w:val="00CA29D7"/>
    <w:rsid w:val="00CA312C"/>
    <w:rsid w:val="00CA351F"/>
    <w:rsid w:val="00CA3A10"/>
    <w:rsid w:val="00CA548C"/>
    <w:rsid w:val="00CA56F0"/>
    <w:rsid w:val="00CA5734"/>
    <w:rsid w:val="00CA5AC9"/>
    <w:rsid w:val="00CB0A5F"/>
    <w:rsid w:val="00CB12B2"/>
    <w:rsid w:val="00CB2380"/>
    <w:rsid w:val="00CB2CE6"/>
    <w:rsid w:val="00CB46AB"/>
    <w:rsid w:val="00CB4C2C"/>
    <w:rsid w:val="00CB5EBB"/>
    <w:rsid w:val="00CB6701"/>
    <w:rsid w:val="00CB6CCA"/>
    <w:rsid w:val="00CB6DDB"/>
    <w:rsid w:val="00CB75C8"/>
    <w:rsid w:val="00CB7B49"/>
    <w:rsid w:val="00CC103D"/>
    <w:rsid w:val="00CC15FB"/>
    <w:rsid w:val="00CC1EFE"/>
    <w:rsid w:val="00CC2596"/>
    <w:rsid w:val="00CC29E3"/>
    <w:rsid w:val="00CC3A78"/>
    <w:rsid w:val="00CC48F7"/>
    <w:rsid w:val="00CC68B6"/>
    <w:rsid w:val="00CC6A3C"/>
    <w:rsid w:val="00CC6E45"/>
    <w:rsid w:val="00CC6FF1"/>
    <w:rsid w:val="00CD00F3"/>
    <w:rsid w:val="00CD0356"/>
    <w:rsid w:val="00CD04F8"/>
    <w:rsid w:val="00CD1ABA"/>
    <w:rsid w:val="00CD29D4"/>
    <w:rsid w:val="00CD3682"/>
    <w:rsid w:val="00CD3A63"/>
    <w:rsid w:val="00CD3ED6"/>
    <w:rsid w:val="00CD3F33"/>
    <w:rsid w:val="00CD4EE9"/>
    <w:rsid w:val="00CD568E"/>
    <w:rsid w:val="00CD590B"/>
    <w:rsid w:val="00CD6015"/>
    <w:rsid w:val="00CD6C8C"/>
    <w:rsid w:val="00CE0449"/>
    <w:rsid w:val="00CE05A3"/>
    <w:rsid w:val="00CE1CAA"/>
    <w:rsid w:val="00CE2343"/>
    <w:rsid w:val="00CE4523"/>
    <w:rsid w:val="00CE482E"/>
    <w:rsid w:val="00CE5015"/>
    <w:rsid w:val="00CE55E1"/>
    <w:rsid w:val="00CE60C9"/>
    <w:rsid w:val="00CE6809"/>
    <w:rsid w:val="00CE6A70"/>
    <w:rsid w:val="00CE6F22"/>
    <w:rsid w:val="00CE790B"/>
    <w:rsid w:val="00CF014F"/>
    <w:rsid w:val="00CF0DC9"/>
    <w:rsid w:val="00CF1351"/>
    <w:rsid w:val="00CF1B0C"/>
    <w:rsid w:val="00CF2D46"/>
    <w:rsid w:val="00CF2E53"/>
    <w:rsid w:val="00CF322E"/>
    <w:rsid w:val="00CF4E61"/>
    <w:rsid w:val="00CF502A"/>
    <w:rsid w:val="00CF574B"/>
    <w:rsid w:val="00D00D54"/>
    <w:rsid w:val="00D010F2"/>
    <w:rsid w:val="00D03ED8"/>
    <w:rsid w:val="00D0475C"/>
    <w:rsid w:val="00D051F3"/>
    <w:rsid w:val="00D056A1"/>
    <w:rsid w:val="00D05C2E"/>
    <w:rsid w:val="00D06098"/>
    <w:rsid w:val="00D0742A"/>
    <w:rsid w:val="00D075A6"/>
    <w:rsid w:val="00D075CF"/>
    <w:rsid w:val="00D1017C"/>
    <w:rsid w:val="00D103D0"/>
    <w:rsid w:val="00D10CE9"/>
    <w:rsid w:val="00D10EC2"/>
    <w:rsid w:val="00D1262C"/>
    <w:rsid w:val="00D127AD"/>
    <w:rsid w:val="00D12F84"/>
    <w:rsid w:val="00D135A1"/>
    <w:rsid w:val="00D13B51"/>
    <w:rsid w:val="00D13E95"/>
    <w:rsid w:val="00D145B0"/>
    <w:rsid w:val="00D151FB"/>
    <w:rsid w:val="00D15F5E"/>
    <w:rsid w:val="00D17171"/>
    <w:rsid w:val="00D17CB7"/>
    <w:rsid w:val="00D17E1B"/>
    <w:rsid w:val="00D20069"/>
    <w:rsid w:val="00D2167D"/>
    <w:rsid w:val="00D21A59"/>
    <w:rsid w:val="00D21C8E"/>
    <w:rsid w:val="00D224D6"/>
    <w:rsid w:val="00D2298C"/>
    <w:rsid w:val="00D22ADF"/>
    <w:rsid w:val="00D22F3C"/>
    <w:rsid w:val="00D23221"/>
    <w:rsid w:val="00D24C0A"/>
    <w:rsid w:val="00D24F94"/>
    <w:rsid w:val="00D2521F"/>
    <w:rsid w:val="00D2613B"/>
    <w:rsid w:val="00D263A3"/>
    <w:rsid w:val="00D26DE9"/>
    <w:rsid w:val="00D3012C"/>
    <w:rsid w:val="00D326E0"/>
    <w:rsid w:val="00D33627"/>
    <w:rsid w:val="00D33F59"/>
    <w:rsid w:val="00D35644"/>
    <w:rsid w:val="00D35F0E"/>
    <w:rsid w:val="00D36934"/>
    <w:rsid w:val="00D36AF4"/>
    <w:rsid w:val="00D37F03"/>
    <w:rsid w:val="00D40A6A"/>
    <w:rsid w:val="00D419E5"/>
    <w:rsid w:val="00D42302"/>
    <w:rsid w:val="00D42F2F"/>
    <w:rsid w:val="00D435EB"/>
    <w:rsid w:val="00D43964"/>
    <w:rsid w:val="00D43C0C"/>
    <w:rsid w:val="00D44614"/>
    <w:rsid w:val="00D44682"/>
    <w:rsid w:val="00D44902"/>
    <w:rsid w:val="00D44DFC"/>
    <w:rsid w:val="00D44E75"/>
    <w:rsid w:val="00D44FDB"/>
    <w:rsid w:val="00D4520C"/>
    <w:rsid w:val="00D4610A"/>
    <w:rsid w:val="00D46A85"/>
    <w:rsid w:val="00D46BB8"/>
    <w:rsid w:val="00D46C3E"/>
    <w:rsid w:val="00D4757C"/>
    <w:rsid w:val="00D47B26"/>
    <w:rsid w:val="00D47E30"/>
    <w:rsid w:val="00D47FE6"/>
    <w:rsid w:val="00D50B49"/>
    <w:rsid w:val="00D53749"/>
    <w:rsid w:val="00D5379D"/>
    <w:rsid w:val="00D5383C"/>
    <w:rsid w:val="00D53F90"/>
    <w:rsid w:val="00D54260"/>
    <w:rsid w:val="00D5487C"/>
    <w:rsid w:val="00D549ED"/>
    <w:rsid w:val="00D54C93"/>
    <w:rsid w:val="00D55C25"/>
    <w:rsid w:val="00D566EF"/>
    <w:rsid w:val="00D56FBD"/>
    <w:rsid w:val="00D57DE4"/>
    <w:rsid w:val="00D610F0"/>
    <w:rsid w:val="00D613ED"/>
    <w:rsid w:val="00D6215B"/>
    <w:rsid w:val="00D6219A"/>
    <w:rsid w:val="00D62BC4"/>
    <w:rsid w:val="00D62DCA"/>
    <w:rsid w:val="00D636D3"/>
    <w:rsid w:val="00D6379B"/>
    <w:rsid w:val="00D63B40"/>
    <w:rsid w:val="00D641E6"/>
    <w:rsid w:val="00D6508E"/>
    <w:rsid w:val="00D65E9E"/>
    <w:rsid w:val="00D65EA5"/>
    <w:rsid w:val="00D66AD5"/>
    <w:rsid w:val="00D66ED2"/>
    <w:rsid w:val="00D71E0F"/>
    <w:rsid w:val="00D72E30"/>
    <w:rsid w:val="00D73D10"/>
    <w:rsid w:val="00D74122"/>
    <w:rsid w:val="00D74B3F"/>
    <w:rsid w:val="00D75A3C"/>
    <w:rsid w:val="00D765E6"/>
    <w:rsid w:val="00D76A7C"/>
    <w:rsid w:val="00D76EF7"/>
    <w:rsid w:val="00D778C0"/>
    <w:rsid w:val="00D80FE5"/>
    <w:rsid w:val="00D8116D"/>
    <w:rsid w:val="00D81DE9"/>
    <w:rsid w:val="00D820B3"/>
    <w:rsid w:val="00D826F4"/>
    <w:rsid w:val="00D82EE4"/>
    <w:rsid w:val="00D8367B"/>
    <w:rsid w:val="00D8367C"/>
    <w:rsid w:val="00D83A05"/>
    <w:rsid w:val="00D844B1"/>
    <w:rsid w:val="00D84E20"/>
    <w:rsid w:val="00D85097"/>
    <w:rsid w:val="00D853C2"/>
    <w:rsid w:val="00D8736F"/>
    <w:rsid w:val="00D92736"/>
    <w:rsid w:val="00D928E9"/>
    <w:rsid w:val="00D92EB7"/>
    <w:rsid w:val="00D9338B"/>
    <w:rsid w:val="00D93C04"/>
    <w:rsid w:val="00D96FCF"/>
    <w:rsid w:val="00DA0231"/>
    <w:rsid w:val="00DA08DB"/>
    <w:rsid w:val="00DA0C79"/>
    <w:rsid w:val="00DA2284"/>
    <w:rsid w:val="00DA3763"/>
    <w:rsid w:val="00DA3CF2"/>
    <w:rsid w:val="00DA3F9A"/>
    <w:rsid w:val="00DA457E"/>
    <w:rsid w:val="00DA45EF"/>
    <w:rsid w:val="00DA4972"/>
    <w:rsid w:val="00DA56BD"/>
    <w:rsid w:val="00DA6103"/>
    <w:rsid w:val="00DA6977"/>
    <w:rsid w:val="00DA73AF"/>
    <w:rsid w:val="00DA7C10"/>
    <w:rsid w:val="00DA7EC9"/>
    <w:rsid w:val="00DA7F4C"/>
    <w:rsid w:val="00DB0D72"/>
    <w:rsid w:val="00DB1001"/>
    <w:rsid w:val="00DB19A1"/>
    <w:rsid w:val="00DB3AB2"/>
    <w:rsid w:val="00DB407A"/>
    <w:rsid w:val="00DB53B3"/>
    <w:rsid w:val="00DB5556"/>
    <w:rsid w:val="00DB5C0B"/>
    <w:rsid w:val="00DB6007"/>
    <w:rsid w:val="00DB65B1"/>
    <w:rsid w:val="00DB6746"/>
    <w:rsid w:val="00DB6F37"/>
    <w:rsid w:val="00DB76D3"/>
    <w:rsid w:val="00DB7B6C"/>
    <w:rsid w:val="00DC07B7"/>
    <w:rsid w:val="00DC143E"/>
    <w:rsid w:val="00DC1A89"/>
    <w:rsid w:val="00DC2213"/>
    <w:rsid w:val="00DC2819"/>
    <w:rsid w:val="00DC2CF6"/>
    <w:rsid w:val="00DC3E1C"/>
    <w:rsid w:val="00DC4037"/>
    <w:rsid w:val="00DC41A7"/>
    <w:rsid w:val="00DC5AE0"/>
    <w:rsid w:val="00DC618F"/>
    <w:rsid w:val="00DC6C8C"/>
    <w:rsid w:val="00DC6DAD"/>
    <w:rsid w:val="00DC734C"/>
    <w:rsid w:val="00DC746E"/>
    <w:rsid w:val="00DD016B"/>
    <w:rsid w:val="00DD1766"/>
    <w:rsid w:val="00DD1D86"/>
    <w:rsid w:val="00DD210B"/>
    <w:rsid w:val="00DD2206"/>
    <w:rsid w:val="00DD2F6A"/>
    <w:rsid w:val="00DD3125"/>
    <w:rsid w:val="00DD4223"/>
    <w:rsid w:val="00DD59D5"/>
    <w:rsid w:val="00DD60B7"/>
    <w:rsid w:val="00DD6196"/>
    <w:rsid w:val="00DD63D2"/>
    <w:rsid w:val="00DD721A"/>
    <w:rsid w:val="00DE231F"/>
    <w:rsid w:val="00DE3E44"/>
    <w:rsid w:val="00DE4F88"/>
    <w:rsid w:val="00DE61B6"/>
    <w:rsid w:val="00DE61EE"/>
    <w:rsid w:val="00DE6600"/>
    <w:rsid w:val="00DE6ECC"/>
    <w:rsid w:val="00DE7C03"/>
    <w:rsid w:val="00DF01E0"/>
    <w:rsid w:val="00DF032A"/>
    <w:rsid w:val="00DF0515"/>
    <w:rsid w:val="00DF07D1"/>
    <w:rsid w:val="00DF10D2"/>
    <w:rsid w:val="00DF229F"/>
    <w:rsid w:val="00DF3E96"/>
    <w:rsid w:val="00DF4562"/>
    <w:rsid w:val="00DF5E0B"/>
    <w:rsid w:val="00DF61A5"/>
    <w:rsid w:val="00DF6A2E"/>
    <w:rsid w:val="00DF6AF6"/>
    <w:rsid w:val="00DF6BA4"/>
    <w:rsid w:val="00E01A21"/>
    <w:rsid w:val="00E0320B"/>
    <w:rsid w:val="00E04312"/>
    <w:rsid w:val="00E04BAE"/>
    <w:rsid w:val="00E04E1E"/>
    <w:rsid w:val="00E05C55"/>
    <w:rsid w:val="00E070E3"/>
    <w:rsid w:val="00E07D82"/>
    <w:rsid w:val="00E07D95"/>
    <w:rsid w:val="00E114C6"/>
    <w:rsid w:val="00E11959"/>
    <w:rsid w:val="00E13EA3"/>
    <w:rsid w:val="00E14DDD"/>
    <w:rsid w:val="00E17321"/>
    <w:rsid w:val="00E173D6"/>
    <w:rsid w:val="00E1772C"/>
    <w:rsid w:val="00E205C1"/>
    <w:rsid w:val="00E20835"/>
    <w:rsid w:val="00E213F0"/>
    <w:rsid w:val="00E224EA"/>
    <w:rsid w:val="00E226CC"/>
    <w:rsid w:val="00E22A1A"/>
    <w:rsid w:val="00E2403F"/>
    <w:rsid w:val="00E24271"/>
    <w:rsid w:val="00E24B01"/>
    <w:rsid w:val="00E26110"/>
    <w:rsid w:val="00E2655B"/>
    <w:rsid w:val="00E26BE3"/>
    <w:rsid w:val="00E26F7E"/>
    <w:rsid w:val="00E30210"/>
    <w:rsid w:val="00E31CC6"/>
    <w:rsid w:val="00E32EC0"/>
    <w:rsid w:val="00E33ED3"/>
    <w:rsid w:val="00E33F66"/>
    <w:rsid w:val="00E36885"/>
    <w:rsid w:val="00E36BA7"/>
    <w:rsid w:val="00E373A9"/>
    <w:rsid w:val="00E37790"/>
    <w:rsid w:val="00E415C8"/>
    <w:rsid w:val="00E433E1"/>
    <w:rsid w:val="00E447FE"/>
    <w:rsid w:val="00E44942"/>
    <w:rsid w:val="00E44973"/>
    <w:rsid w:val="00E458B5"/>
    <w:rsid w:val="00E462B9"/>
    <w:rsid w:val="00E46344"/>
    <w:rsid w:val="00E50BBE"/>
    <w:rsid w:val="00E5243E"/>
    <w:rsid w:val="00E5408B"/>
    <w:rsid w:val="00E56268"/>
    <w:rsid w:val="00E572AD"/>
    <w:rsid w:val="00E57F35"/>
    <w:rsid w:val="00E601C1"/>
    <w:rsid w:val="00E60426"/>
    <w:rsid w:val="00E6289A"/>
    <w:rsid w:val="00E62929"/>
    <w:rsid w:val="00E62AD6"/>
    <w:rsid w:val="00E634F4"/>
    <w:rsid w:val="00E64A39"/>
    <w:rsid w:val="00E64D5E"/>
    <w:rsid w:val="00E6757C"/>
    <w:rsid w:val="00E67DF7"/>
    <w:rsid w:val="00E71623"/>
    <w:rsid w:val="00E71946"/>
    <w:rsid w:val="00E72014"/>
    <w:rsid w:val="00E722DA"/>
    <w:rsid w:val="00E727EB"/>
    <w:rsid w:val="00E72D6A"/>
    <w:rsid w:val="00E7307A"/>
    <w:rsid w:val="00E7408F"/>
    <w:rsid w:val="00E74146"/>
    <w:rsid w:val="00E7500B"/>
    <w:rsid w:val="00E75702"/>
    <w:rsid w:val="00E75C2C"/>
    <w:rsid w:val="00E76741"/>
    <w:rsid w:val="00E77CE5"/>
    <w:rsid w:val="00E77DDD"/>
    <w:rsid w:val="00E801C2"/>
    <w:rsid w:val="00E80E66"/>
    <w:rsid w:val="00E80EA0"/>
    <w:rsid w:val="00E82066"/>
    <w:rsid w:val="00E84883"/>
    <w:rsid w:val="00E848DD"/>
    <w:rsid w:val="00E85BF2"/>
    <w:rsid w:val="00E87B05"/>
    <w:rsid w:val="00E91EC8"/>
    <w:rsid w:val="00E9237F"/>
    <w:rsid w:val="00E92619"/>
    <w:rsid w:val="00E93572"/>
    <w:rsid w:val="00E93686"/>
    <w:rsid w:val="00E937B9"/>
    <w:rsid w:val="00E93A94"/>
    <w:rsid w:val="00E93D53"/>
    <w:rsid w:val="00E93EB5"/>
    <w:rsid w:val="00E944B9"/>
    <w:rsid w:val="00E94698"/>
    <w:rsid w:val="00E94EF0"/>
    <w:rsid w:val="00E951B0"/>
    <w:rsid w:val="00E95C2E"/>
    <w:rsid w:val="00E95E1C"/>
    <w:rsid w:val="00EA00F8"/>
    <w:rsid w:val="00EA1989"/>
    <w:rsid w:val="00EA23F3"/>
    <w:rsid w:val="00EA370A"/>
    <w:rsid w:val="00EA39FF"/>
    <w:rsid w:val="00EA3CE5"/>
    <w:rsid w:val="00EA428F"/>
    <w:rsid w:val="00EA596C"/>
    <w:rsid w:val="00EA5B6A"/>
    <w:rsid w:val="00EA61E0"/>
    <w:rsid w:val="00EA75B2"/>
    <w:rsid w:val="00EA76AF"/>
    <w:rsid w:val="00EA78F0"/>
    <w:rsid w:val="00EB0381"/>
    <w:rsid w:val="00EB115C"/>
    <w:rsid w:val="00EB11D3"/>
    <w:rsid w:val="00EB123E"/>
    <w:rsid w:val="00EB1C6F"/>
    <w:rsid w:val="00EB252A"/>
    <w:rsid w:val="00EB2706"/>
    <w:rsid w:val="00EB2AC1"/>
    <w:rsid w:val="00EB3637"/>
    <w:rsid w:val="00EB3800"/>
    <w:rsid w:val="00EB462A"/>
    <w:rsid w:val="00EB58E0"/>
    <w:rsid w:val="00EB70B7"/>
    <w:rsid w:val="00EB7AFD"/>
    <w:rsid w:val="00EB7F22"/>
    <w:rsid w:val="00EC22DF"/>
    <w:rsid w:val="00EC2850"/>
    <w:rsid w:val="00EC29E1"/>
    <w:rsid w:val="00EC3113"/>
    <w:rsid w:val="00EC3247"/>
    <w:rsid w:val="00EC3D02"/>
    <w:rsid w:val="00EC50CF"/>
    <w:rsid w:val="00EC518C"/>
    <w:rsid w:val="00EC5EA7"/>
    <w:rsid w:val="00EC7221"/>
    <w:rsid w:val="00ED0583"/>
    <w:rsid w:val="00ED062A"/>
    <w:rsid w:val="00ED0D74"/>
    <w:rsid w:val="00ED30EB"/>
    <w:rsid w:val="00ED366D"/>
    <w:rsid w:val="00ED37E2"/>
    <w:rsid w:val="00ED4B6D"/>
    <w:rsid w:val="00ED7939"/>
    <w:rsid w:val="00ED7B50"/>
    <w:rsid w:val="00EE00FB"/>
    <w:rsid w:val="00EE046D"/>
    <w:rsid w:val="00EE1B0D"/>
    <w:rsid w:val="00EE2A5E"/>
    <w:rsid w:val="00EE2F88"/>
    <w:rsid w:val="00EE3093"/>
    <w:rsid w:val="00EE6088"/>
    <w:rsid w:val="00EE62BD"/>
    <w:rsid w:val="00EE6E74"/>
    <w:rsid w:val="00EF0E21"/>
    <w:rsid w:val="00EF0E98"/>
    <w:rsid w:val="00EF1A6E"/>
    <w:rsid w:val="00EF1C29"/>
    <w:rsid w:val="00EF22F4"/>
    <w:rsid w:val="00EF23BB"/>
    <w:rsid w:val="00EF2531"/>
    <w:rsid w:val="00EF44ED"/>
    <w:rsid w:val="00EF4A54"/>
    <w:rsid w:val="00EF4C17"/>
    <w:rsid w:val="00EF4E3D"/>
    <w:rsid w:val="00EF5FAB"/>
    <w:rsid w:val="00EF7BF0"/>
    <w:rsid w:val="00F01E85"/>
    <w:rsid w:val="00F04054"/>
    <w:rsid w:val="00F04E88"/>
    <w:rsid w:val="00F05C6B"/>
    <w:rsid w:val="00F05EC1"/>
    <w:rsid w:val="00F06371"/>
    <w:rsid w:val="00F06C33"/>
    <w:rsid w:val="00F06CFE"/>
    <w:rsid w:val="00F07094"/>
    <w:rsid w:val="00F079B8"/>
    <w:rsid w:val="00F10954"/>
    <w:rsid w:val="00F11A32"/>
    <w:rsid w:val="00F12C6E"/>
    <w:rsid w:val="00F13AE0"/>
    <w:rsid w:val="00F14695"/>
    <w:rsid w:val="00F151A4"/>
    <w:rsid w:val="00F15475"/>
    <w:rsid w:val="00F156EF"/>
    <w:rsid w:val="00F16826"/>
    <w:rsid w:val="00F1699E"/>
    <w:rsid w:val="00F17128"/>
    <w:rsid w:val="00F215CE"/>
    <w:rsid w:val="00F21766"/>
    <w:rsid w:val="00F226D4"/>
    <w:rsid w:val="00F235A1"/>
    <w:rsid w:val="00F23AF6"/>
    <w:rsid w:val="00F23DC2"/>
    <w:rsid w:val="00F24A7F"/>
    <w:rsid w:val="00F24C7D"/>
    <w:rsid w:val="00F25D41"/>
    <w:rsid w:val="00F26246"/>
    <w:rsid w:val="00F26382"/>
    <w:rsid w:val="00F27230"/>
    <w:rsid w:val="00F30432"/>
    <w:rsid w:val="00F31FCD"/>
    <w:rsid w:val="00F32065"/>
    <w:rsid w:val="00F3233C"/>
    <w:rsid w:val="00F33948"/>
    <w:rsid w:val="00F342FC"/>
    <w:rsid w:val="00F34877"/>
    <w:rsid w:val="00F34A79"/>
    <w:rsid w:val="00F34D70"/>
    <w:rsid w:val="00F359C7"/>
    <w:rsid w:val="00F36979"/>
    <w:rsid w:val="00F37181"/>
    <w:rsid w:val="00F41D1F"/>
    <w:rsid w:val="00F41F6B"/>
    <w:rsid w:val="00F42B85"/>
    <w:rsid w:val="00F42E26"/>
    <w:rsid w:val="00F438DC"/>
    <w:rsid w:val="00F44745"/>
    <w:rsid w:val="00F448BA"/>
    <w:rsid w:val="00F45F18"/>
    <w:rsid w:val="00F468F1"/>
    <w:rsid w:val="00F47865"/>
    <w:rsid w:val="00F51CDF"/>
    <w:rsid w:val="00F521DC"/>
    <w:rsid w:val="00F5262A"/>
    <w:rsid w:val="00F54202"/>
    <w:rsid w:val="00F54511"/>
    <w:rsid w:val="00F55E0C"/>
    <w:rsid w:val="00F570E5"/>
    <w:rsid w:val="00F5729D"/>
    <w:rsid w:val="00F5794D"/>
    <w:rsid w:val="00F61BB6"/>
    <w:rsid w:val="00F62970"/>
    <w:rsid w:val="00F63118"/>
    <w:rsid w:val="00F63BE7"/>
    <w:rsid w:val="00F644E0"/>
    <w:rsid w:val="00F66745"/>
    <w:rsid w:val="00F6692B"/>
    <w:rsid w:val="00F70002"/>
    <w:rsid w:val="00F712A7"/>
    <w:rsid w:val="00F71FCB"/>
    <w:rsid w:val="00F7293A"/>
    <w:rsid w:val="00F736FE"/>
    <w:rsid w:val="00F73B61"/>
    <w:rsid w:val="00F7488E"/>
    <w:rsid w:val="00F75189"/>
    <w:rsid w:val="00F75A8A"/>
    <w:rsid w:val="00F75BDA"/>
    <w:rsid w:val="00F76E50"/>
    <w:rsid w:val="00F80415"/>
    <w:rsid w:val="00F8180C"/>
    <w:rsid w:val="00F81E49"/>
    <w:rsid w:val="00F81FD0"/>
    <w:rsid w:val="00F8250C"/>
    <w:rsid w:val="00F83110"/>
    <w:rsid w:val="00F83356"/>
    <w:rsid w:val="00F84608"/>
    <w:rsid w:val="00F846F0"/>
    <w:rsid w:val="00F87057"/>
    <w:rsid w:val="00F9088C"/>
    <w:rsid w:val="00F909A3"/>
    <w:rsid w:val="00F90AFE"/>
    <w:rsid w:val="00F90B59"/>
    <w:rsid w:val="00F915FB"/>
    <w:rsid w:val="00F93027"/>
    <w:rsid w:val="00F951B5"/>
    <w:rsid w:val="00F9675F"/>
    <w:rsid w:val="00F972A0"/>
    <w:rsid w:val="00F97B32"/>
    <w:rsid w:val="00F97DD1"/>
    <w:rsid w:val="00FA0DDC"/>
    <w:rsid w:val="00FA0DDE"/>
    <w:rsid w:val="00FA0E0B"/>
    <w:rsid w:val="00FA144D"/>
    <w:rsid w:val="00FA17D4"/>
    <w:rsid w:val="00FA31F6"/>
    <w:rsid w:val="00FA3B96"/>
    <w:rsid w:val="00FA3F24"/>
    <w:rsid w:val="00FA569F"/>
    <w:rsid w:val="00FA59B4"/>
    <w:rsid w:val="00FA5A11"/>
    <w:rsid w:val="00FA65F4"/>
    <w:rsid w:val="00FA669F"/>
    <w:rsid w:val="00FA70C3"/>
    <w:rsid w:val="00FA7AA7"/>
    <w:rsid w:val="00FA7BDE"/>
    <w:rsid w:val="00FB068C"/>
    <w:rsid w:val="00FB0AB9"/>
    <w:rsid w:val="00FB42A5"/>
    <w:rsid w:val="00FB5299"/>
    <w:rsid w:val="00FB70F4"/>
    <w:rsid w:val="00FB73CB"/>
    <w:rsid w:val="00FB7BC7"/>
    <w:rsid w:val="00FC03C1"/>
    <w:rsid w:val="00FC0B0F"/>
    <w:rsid w:val="00FC289E"/>
    <w:rsid w:val="00FC3B71"/>
    <w:rsid w:val="00FC459B"/>
    <w:rsid w:val="00FC5F33"/>
    <w:rsid w:val="00FC61DD"/>
    <w:rsid w:val="00FC71D5"/>
    <w:rsid w:val="00FC75A0"/>
    <w:rsid w:val="00FD04DB"/>
    <w:rsid w:val="00FD08D5"/>
    <w:rsid w:val="00FD1F48"/>
    <w:rsid w:val="00FD26EF"/>
    <w:rsid w:val="00FD296A"/>
    <w:rsid w:val="00FD2DE2"/>
    <w:rsid w:val="00FD3DEA"/>
    <w:rsid w:val="00FD4B73"/>
    <w:rsid w:val="00FD4FA6"/>
    <w:rsid w:val="00FD5608"/>
    <w:rsid w:val="00FD6758"/>
    <w:rsid w:val="00FD7C0C"/>
    <w:rsid w:val="00FE0D54"/>
    <w:rsid w:val="00FE10DA"/>
    <w:rsid w:val="00FE2090"/>
    <w:rsid w:val="00FE2BD0"/>
    <w:rsid w:val="00FE2E62"/>
    <w:rsid w:val="00FE2E66"/>
    <w:rsid w:val="00FE4691"/>
    <w:rsid w:val="00FE52C3"/>
    <w:rsid w:val="00FE5609"/>
    <w:rsid w:val="00FE7484"/>
    <w:rsid w:val="00FF0AE8"/>
    <w:rsid w:val="00FF0D39"/>
    <w:rsid w:val="00FF16A0"/>
    <w:rsid w:val="00FF1725"/>
    <w:rsid w:val="00FF1A42"/>
    <w:rsid w:val="00FF1B83"/>
    <w:rsid w:val="00FF20CF"/>
    <w:rsid w:val="00FF27CD"/>
    <w:rsid w:val="00FF2DF0"/>
    <w:rsid w:val="00FF3298"/>
    <w:rsid w:val="00FF4512"/>
    <w:rsid w:val="00FF4B81"/>
    <w:rsid w:val="00FF70E6"/>
    <w:rsid w:val="00FF72A6"/>
    <w:rsid w:val="039D1A99"/>
    <w:rsid w:val="043D68B5"/>
    <w:rsid w:val="069A47DF"/>
    <w:rsid w:val="07DC4F28"/>
    <w:rsid w:val="0C465A58"/>
    <w:rsid w:val="0D3857B5"/>
    <w:rsid w:val="0E53284D"/>
    <w:rsid w:val="0E5456D8"/>
    <w:rsid w:val="0EFB4283"/>
    <w:rsid w:val="0F4E5827"/>
    <w:rsid w:val="122B523F"/>
    <w:rsid w:val="1422183F"/>
    <w:rsid w:val="156E5A30"/>
    <w:rsid w:val="160D4D5E"/>
    <w:rsid w:val="191014DB"/>
    <w:rsid w:val="19D72D72"/>
    <w:rsid w:val="1A576528"/>
    <w:rsid w:val="1C2C33AF"/>
    <w:rsid w:val="1D8E274F"/>
    <w:rsid w:val="240C1FE4"/>
    <w:rsid w:val="249904B0"/>
    <w:rsid w:val="26235823"/>
    <w:rsid w:val="280478D6"/>
    <w:rsid w:val="29D102C8"/>
    <w:rsid w:val="2D365F3B"/>
    <w:rsid w:val="2DD83FCC"/>
    <w:rsid w:val="32310F6C"/>
    <w:rsid w:val="335A1C97"/>
    <w:rsid w:val="33802241"/>
    <w:rsid w:val="355E4F6C"/>
    <w:rsid w:val="35E82679"/>
    <w:rsid w:val="35E82C67"/>
    <w:rsid w:val="35EC1D89"/>
    <w:rsid w:val="36EF1623"/>
    <w:rsid w:val="38B421CF"/>
    <w:rsid w:val="3C142537"/>
    <w:rsid w:val="3E0B6BEF"/>
    <w:rsid w:val="41902DB3"/>
    <w:rsid w:val="419C74D9"/>
    <w:rsid w:val="4227750C"/>
    <w:rsid w:val="44FE772F"/>
    <w:rsid w:val="460478AD"/>
    <w:rsid w:val="48205F03"/>
    <w:rsid w:val="4E340B35"/>
    <w:rsid w:val="4E7752F7"/>
    <w:rsid w:val="4F724BD7"/>
    <w:rsid w:val="506507E1"/>
    <w:rsid w:val="54A10D44"/>
    <w:rsid w:val="55AF1BA2"/>
    <w:rsid w:val="55F07F8F"/>
    <w:rsid w:val="5726041F"/>
    <w:rsid w:val="57605A3E"/>
    <w:rsid w:val="5CD147FD"/>
    <w:rsid w:val="5F7B43BB"/>
    <w:rsid w:val="6306175A"/>
    <w:rsid w:val="65071890"/>
    <w:rsid w:val="6791676F"/>
    <w:rsid w:val="67B12B0D"/>
    <w:rsid w:val="6BE94375"/>
    <w:rsid w:val="6C087061"/>
    <w:rsid w:val="7372005D"/>
    <w:rsid w:val="748F0394"/>
    <w:rsid w:val="74B4248E"/>
    <w:rsid w:val="773C7ABF"/>
    <w:rsid w:val="79F54814"/>
    <w:rsid w:val="7B6047E9"/>
    <w:rsid w:val="7BC278A0"/>
    <w:rsid w:val="7D4A2890"/>
    <w:rsid w:val="7DAC7DB8"/>
    <w:rsid w:val="7FF77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qFormat/>
    <w:uiPriority w:val="9"/>
    <w:pPr>
      <w:keepNext/>
      <w:keepLines/>
      <w:spacing w:line="360" w:lineRule="auto"/>
      <w:ind w:firstLine="200" w:firstLineChars="200"/>
      <w:jc w:val="left"/>
      <w:outlineLvl w:val="1"/>
    </w:pPr>
    <w:rPr>
      <w:rFonts w:ascii="Cambria" w:hAnsi="Cambria" w:eastAsia="黑体"/>
      <w:b/>
      <w:bCs/>
      <w:kern w:val="0"/>
      <w:sz w:val="28"/>
      <w:szCs w:val="32"/>
    </w:rPr>
  </w:style>
  <w:style w:type="paragraph" w:styleId="4">
    <w:name w:val="heading 3"/>
    <w:basedOn w:val="1"/>
    <w:next w:val="1"/>
    <w:link w:val="20"/>
    <w:qFormat/>
    <w:uiPriority w:val="9"/>
    <w:pPr>
      <w:keepNext/>
      <w:keepLines/>
      <w:spacing w:line="360" w:lineRule="auto"/>
      <w:ind w:firstLine="200" w:firstLineChars="200"/>
      <w:jc w:val="left"/>
      <w:outlineLvl w:val="2"/>
    </w:pPr>
    <w:rPr>
      <w:rFonts w:hAnsi="仿宋_GB2312"/>
      <w:b/>
      <w:bCs/>
      <w:kern w:val="0"/>
      <w:sz w:val="28"/>
      <w:szCs w:val="32"/>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Balloon Text"/>
    <w:basedOn w:val="1"/>
    <w:link w:val="26"/>
    <w:semiHidden/>
    <w:unhideWhenUsed/>
    <w:qFormat/>
    <w:uiPriority w:val="99"/>
    <w:rPr>
      <w:sz w:val="18"/>
      <w:szCs w:val="18"/>
    </w:rPr>
  </w:style>
  <w:style w:type="paragraph" w:styleId="8">
    <w:name w:val="footer"/>
    <w:basedOn w:val="1"/>
    <w:link w:val="28"/>
    <w:unhideWhenUsed/>
    <w:qFormat/>
    <w:uiPriority w:val="99"/>
    <w:pPr>
      <w:tabs>
        <w:tab w:val="center" w:pos="4153"/>
        <w:tab w:val="right" w:pos="8306"/>
      </w:tabs>
      <w:snapToGrid w:val="0"/>
      <w:jc w:val="left"/>
    </w:pPr>
    <w:rPr>
      <w:sz w:val="18"/>
      <w:szCs w:val="18"/>
    </w:rPr>
  </w:style>
  <w:style w:type="paragraph" w:styleId="9">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tabs>
        <w:tab w:val="right" w:leader="dot" w:pos="8296"/>
      </w:tabs>
      <w:spacing w:line="460" w:lineRule="exact"/>
    </w:pPr>
    <w:rPr>
      <w:b/>
    </w:rPr>
  </w:style>
  <w:style w:type="paragraph" w:styleId="11">
    <w:name w:val="toc 2"/>
    <w:basedOn w:val="1"/>
    <w:next w:val="1"/>
    <w:unhideWhenUsed/>
    <w:qFormat/>
    <w:uiPriority w:val="39"/>
    <w:pPr>
      <w:tabs>
        <w:tab w:val="right" w:leader="dot" w:pos="8296"/>
      </w:tabs>
    </w:pPr>
    <w:rPr>
      <w:rFonts w:ascii="Times New Roman"/>
      <w:b/>
      <w:bCs/>
      <w:szCs w:val="32"/>
    </w:rPr>
  </w:style>
  <w:style w:type="paragraph" w:styleId="12">
    <w:name w:val="annotation subject"/>
    <w:basedOn w:val="5"/>
    <w:next w:val="5"/>
    <w:link w:val="25"/>
    <w:semiHidden/>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000FF"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character" w:customStyle="1" w:styleId="18">
    <w:name w:val="标题 1 字符"/>
    <w:basedOn w:val="15"/>
    <w:link w:val="2"/>
    <w:qFormat/>
    <w:uiPriority w:val="9"/>
    <w:rPr>
      <w:rFonts w:ascii="仿宋_GB2312" w:hAnsi="Times New Roman" w:eastAsia="仿宋_GB2312" w:cs="Times New Roman"/>
      <w:b/>
      <w:bCs/>
      <w:kern w:val="44"/>
      <w:sz w:val="44"/>
      <w:szCs w:val="44"/>
    </w:rPr>
  </w:style>
  <w:style w:type="character" w:customStyle="1" w:styleId="19">
    <w:name w:val="标题 3 字符"/>
    <w:basedOn w:val="15"/>
    <w:semiHidden/>
    <w:qFormat/>
    <w:uiPriority w:val="9"/>
    <w:rPr>
      <w:rFonts w:ascii="仿宋_GB2312" w:hAnsi="Times New Roman" w:eastAsia="仿宋_GB2312" w:cs="Times New Roman"/>
      <w:b/>
      <w:bCs/>
      <w:sz w:val="32"/>
      <w:szCs w:val="32"/>
    </w:rPr>
  </w:style>
  <w:style w:type="character" w:customStyle="1" w:styleId="20">
    <w:name w:val="标题 3 字符1"/>
    <w:link w:val="4"/>
    <w:qFormat/>
    <w:uiPriority w:val="9"/>
    <w:rPr>
      <w:rFonts w:ascii="仿宋_GB2312" w:hAnsi="仿宋_GB2312" w:eastAsia="仿宋_GB2312" w:cs="Times New Roman"/>
      <w:b/>
      <w:bCs/>
      <w:kern w:val="0"/>
      <w:sz w:val="28"/>
      <w:szCs w:val="32"/>
    </w:rPr>
  </w:style>
  <w:style w:type="character" w:customStyle="1" w:styleId="21">
    <w:name w:val="标题 2 字符"/>
    <w:basedOn w:val="15"/>
    <w:semiHidden/>
    <w:qFormat/>
    <w:uiPriority w:val="9"/>
    <w:rPr>
      <w:rFonts w:asciiTheme="majorHAnsi" w:hAnsiTheme="majorHAnsi" w:eastAsiaTheme="majorEastAsia" w:cstheme="majorBidi"/>
      <w:b/>
      <w:bCs/>
      <w:sz w:val="32"/>
      <w:szCs w:val="32"/>
    </w:rPr>
  </w:style>
  <w:style w:type="character" w:customStyle="1" w:styleId="22">
    <w:name w:val="标题 2 字符1"/>
    <w:link w:val="3"/>
    <w:qFormat/>
    <w:uiPriority w:val="9"/>
    <w:rPr>
      <w:rFonts w:ascii="Cambria" w:hAnsi="Cambria" w:eastAsia="黑体" w:cs="Times New Roman"/>
      <w:b/>
      <w:bCs/>
      <w:kern w:val="0"/>
      <w:sz w:val="28"/>
      <w:szCs w:val="32"/>
    </w:rPr>
  </w:style>
  <w:style w:type="paragraph" w:styleId="23">
    <w:name w:val="List Paragraph"/>
    <w:basedOn w:val="1"/>
    <w:qFormat/>
    <w:uiPriority w:val="34"/>
    <w:pPr>
      <w:ind w:firstLine="420" w:firstLineChars="200"/>
    </w:pPr>
  </w:style>
  <w:style w:type="character" w:customStyle="1" w:styleId="24">
    <w:name w:val="批注文字 字符"/>
    <w:basedOn w:val="15"/>
    <w:link w:val="5"/>
    <w:qFormat/>
    <w:uiPriority w:val="99"/>
    <w:rPr>
      <w:rFonts w:ascii="仿宋_GB2312" w:hAnsi="Times New Roman" w:eastAsia="仿宋_GB2312" w:cs="Times New Roman"/>
      <w:sz w:val="32"/>
      <w:szCs w:val="20"/>
    </w:rPr>
  </w:style>
  <w:style w:type="character" w:customStyle="1" w:styleId="25">
    <w:name w:val="批注主题 字符"/>
    <w:basedOn w:val="24"/>
    <w:link w:val="12"/>
    <w:semiHidden/>
    <w:qFormat/>
    <w:uiPriority w:val="99"/>
    <w:rPr>
      <w:rFonts w:ascii="仿宋_GB2312" w:hAnsi="Times New Roman" w:eastAsia="仿宋_GB2312" w:cs="Times New Roman"/>
      <w:b/>
      <w:bCs/>
      <w:sz w:val="32"/>
      <w:szCs w:val="20"/>
    </w:rPr>
  </w:style>
  <w:style w:type="character" w:customStyle="1" w:styleId="26">
    <w:name w:val="批注框文本 字符"/>
    <w:basedOn w:val="15"/>
    <w:link w:val="7"/>
    <w:semiHidden/>
    <w:qFormat/>
    <w:uiPriority w:val="99"/>
    <w:rPr>
      <w:rFonts w:ascii="仿宋_GB2312" w:hAnsi="Times New Roman" w:eastAsia="仿宋_GB2312" w:cs="Times New Roman"/>
      <w:sz w:val="18"/>
      <w:szCs w:val="18"/>
    </w:rPr>
  </w:style>
  <w:style w:type="character" w:customStyle="1" w:styleId="27">
    <w:name w:val="页眉 字符"/>
    <w:basedOn w:val="15"/>
    <w:link w:val="9"/>
    <w:qFormat/>
    <w:uiPriority w:val="99"/>
    <w:rPr>
      <w:rFonts w:ascii="仿宋_GB2312" w:hAnsi="Times New Roman" w:eastAsia="仿宋_GB2312" w:cs="Times New Roman"/>
      <w:sz w:val="18"/>
      <w:szCs w:val="18"/>
    </w:rPr>
  </w:style>
  <w:style w:type="character" w:customStyle="1" w:styleId="28">
    <w:name w:val="页脚 字符"/>
    <w:basedOn w:val="15"/>
    <w:link w:val="8"/>
    <w:qFormat/>
    <w:uiPriority w:val="99"/>
    <w:rPr>
      <w:rFonts w:ascii="仿宋_GB2312" w:hAnsi="Times New Roman" w:eastAsia="仿宋_GB2312" w:cs="Times New Roman"/>
      <w:sz w:val="18"/>
      <w:szCs w:val="18"/>
    </w:rPr>
  </w:style>
  <w:style w:type="paragraph" w:customStyle="1" w:styleId="29">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30">
    <w:name w:val="未处理的提及1"/>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5072</Words>
  <Characters>5435</Characters>
  <Lines>87</Lines>
  <Paragraphs>24</Paragraphs>
  <TotalTime>74</TotalTime>
  <ScaleCrop>false</ScaleCrop>
  <LinksUpToDate>false</LinksUpToDate>
  <CharactersWithSpaces>5711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2022-11-23T20:30:00Z</dcterms:created>
  <dc:creator>cwc</dc:creator>
  <cp:lastModifiedBy>How</cp:lastModifiedBy>
  <cp:lastPrinted>2020-11-03T11:57:00Z</cp:lastPrinted>
  <dcterms:modified xsi:type="dcterms:W3CDTF">2025-02-27T01:23:28Z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CCAE8B5CA6844D9DB5A0CFCE18B69FF9_13</vt:lpwstr>
  </property>
</Properties>
</file>