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西塞山区生态环境分局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黄石市生态环境局经机构改革后，分局执法权已交由综合执法支队统一执法，城区分局作为市局派出机构，目前承担辖区内的生态管理职责，以行政许可为主，对辖区建设项目按照等级受理环境影响评价。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二、行政机关主动公开政府信息情况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楷体" w:eastAsia="仿宋_GB2312" w:cs="楷体"/>
          <w:b w:val="0"/>
          <w:bCs w:val="0"/>
          <w:color w:val="000000"/>
          <w:sz w:val="32"/>
          <w:szCs w:val="32"/>
          <w:lang w:val="en-US" w:eastAsia="zh-CN"/>
        </w:rPr>
        <w:t>至2020年底，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已完成办理环评审批报告表项目共30个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-8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三、行政机关收到和处理政府信息公开申请情况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2020年，我单位未收到政府信息公开申请。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2212"/>
        <w:gridCol w:w="607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一、本年新收政府信息公开申请数量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三、本年度办理结果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（一）予以公开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（三）不予公开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1.属于国家秘密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2.其他法律行政法规禁止公开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3.危及“三安全一稳定”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4.保护第三方合法权益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5.属于三类内部事务信息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6.属于四类过程性信息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7.属于行政执法案卷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8.属于行政查询事项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（四）无法提供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2.没有现成信息需要另行制作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3.补正后申请内容仍不明确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（五）不予处理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1.信访举报投诉类申请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3.要求提供公开出版物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4.无正当理由大量反复申请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5.要求行政机关确认或重新出具已获取信息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（六）其他处理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（七）总计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四、结转下年度继续办理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四、因政府信息公开工作被申请行政复议、提起行政诉讼情况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西塞山区生态环境分局2020年未涉及有关政府信息公开行政复议和提起行政诉讼的情况。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我局政务信息公开工作虽然取得新的成绩，但随着政府信息公开的不断深入，人民群众对信息公开工作的需求不断增长，加上2019年黄石市生态环境局机构改革后，分局执法权上交，分局作为派出行政机构，确定行政编制3名，所有行政许可为委托方式，目前市面对分局的工作职责和许可范围未最终制定，加上工作人员流动大，我局从事政务公开工作人员业务还不够熟练，存在少数信息更新不及时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一步，我局将持续深入贯彻《中华人民共和国政府信息公开条例》，认真落实上级有关信息公开要求，不断完善政务公开工作规范，加强政务公开标准化建设，积极参加有关信息公开工作培训，提高相关工作人员的业务能力和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我局无其他需要报告事项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06CBB"/>
    <w:rsid w:val="4B20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2021-01-25T10:10:00Z</dcterms:created>
  <dc:creator>Administrator</dc:creator>
  <cp:lastModifiedBy>Administrator</cp:lastModifiedBy>
  <dcterms:modified xsi:type="dcterms:W3CDTF">2021-01-25T10:11:34Z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