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</w:rPr>
      </w:pP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333333"/>
          <w:sz w:val="44"/>
          <w:szCs w:val="44"/>
        </w:rPr>
        <w:t>政府信息公开工作年度报告格式模板</w:t>
      </w:r>
    </w:p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32" w:lineRule="auto"/>
        <w:ind w:left="0" w:firstLine="420"/>
        <w:jc w:val="both"/>
        <w:rPr>
          <w:rFonts w:hint="eastAsia" w:ascii="宋体" w:hAnsi="宋体" w:eastAsia="宋体" w:cs="宋体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根据《中华人民共和国政府信息公开条例》要求，特向社会公开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澄月街道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编制政府信息公开年度报告。全文包括主动公开政府信息情况；收到和处理政府信息公开申请情况；政府信息公开行政复议、行政诉讼情况；存在的主要问题和改进情况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</w:rPr>
        <w:t>存在的主要问题及改进情况。本报告中所列数据的统计期限自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年1月1日起至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，在区委区政府的正确领导和区政务公开办公室的具体指导下，认真按照《条例》要求，正式入驻新办公楼，完成了澄月街道党群服务中心达标建设，不断优化“政务服务一张网”平台建设，积极配合上级机关开展政务公开。坚持“公开为原则，不公开为例外”的总体要求，切实保障人民群众的知情权、监督权和参与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同时按照区政务公开工作安排，及时上报政务公开信息。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2021年街道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以红色澄月、宜居澄月、消费澄月、平安澄月、有为澄月为主基调，构建由书记统一领导，分管领导直接抓、部门负责人具体抓的格局。创新党建“左邻右里”品牌，推进街道体制改革、落实红色物业管理、按照“四单机制”管理好1193名下沉党员，解决实际困难400余个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完成入库项目7个，亿元以上项目1个，五千万以上项目2个、五千万以下项目4个，固定投资5.9019亿元。逐步推进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改造澄月、环湖、陈家湾三个老旧小区，拆除违法构筑物27处、拆除面积1091平方米。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 w:val="0"/>
          <w:kern w:val="0"/>
          <w:sz w:val="32"/>
          <w:szCs w:val="32"/>
          <w:highlight w:val="none"/>
        </w:rPr>
        <w:t>街道先后荣获省级生态文明街道、市级街道文化服务站；十五冶社区获评省级先进基层党组织、澄月社区被评为省级侨之家示范社区、磁湖社区市级新时代文明体验站等荣誉。还涌现出陈小玲等全国先进模范。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二、主动公开政府信息情况</w:t>
      </w:r>
    </w:p>
    <w:tbl>
      <w:tblPr>
        <w:tblStyle w:val="4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5"/>
        <w:gridCol w:w="2105"/>
        <w:gridCol w:w="2105"/>
        <w:gridCol w:w="2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制发件数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本年废止件数</w:t>
            </w:r>
          </w:p>
        </w:tc>
        <w:tc>
          <w:tcPr>
            <w:tcW w:w="12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规章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 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  <w:r>
              <w:rPr>
                <w:rFonts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行政规范性文件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　0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0 　</w:t>
            </w:r>
          </w:p>
        </w:tc>
        <w:tc>
          <w:tcPr>
            <w:tcW w:w="12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行政许可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default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color w:val="333333"/>
                <w:kern w:val="2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行政处罚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行政强制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　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00" w:type="pct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信息内容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1250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行政事业性收费</w:t>
            </w:r>
          </w:p>
        </w:tc>
        <w:tc>
          <w:tcPr>
            <w:tcW w:w="3750" w:type="pct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具体情况如下：</w:t>
      </w:r>
      <w:bookmarkStart w:id="0" w:name="_GoBack"/>
      <w:bookmarkEnd w:id="0"/>
    </w:p>
    <w:tbl>
      <w:tblPr>
        <w:tblStyle w:val="4"/>
        <w:tblW w:w="4908" w:type="pct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57" w:type="dxa"/>
          <w:bottom w:w="0" w:type="dxa"/>
          <w:right w:w="57" w:type="dxa"/>
        </w:tblCellMar>
      </w:tblPr>
      <w:tblGrid>
        <w:gridCol w:w="639"/>
        <w:gridCol w:w="782"/>
        <w:gridCol w:w="2797"/>
        <w:gridCol w:w="582"/>
        <w:gridCol w:w="582"/>
        <w:gridCol w:w="582"/>
        <w:gridCol w:w="582"/>
        <w:gridCol w:w="582"/>
        <w:gridCol w:w="595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</w:pPr>
            <w:r>
              <w:rPr>
                <w:rFonts w:hint="eastAsia" w:ascii="楷体" w:hAnsi="楷体" w:eastAsia="楷体" w:cs="楷体"/>
                <w:color w:val="333333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2463" w:type="pct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自然人</w:t>
            </w:r>
          </w:p>
        </w:tc>
        <w:tc>
          <w:tcPr>
            <w:tcW w:w="1758" w:type="pct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法人或其他组织</w:t>
            </w:r>
          </w:p>
        </w:tc>
        <w:tc>
          <w:tcPr>
            <w:tcW w:w="353" w:type="pct"/>
            <w:vMerge w:val="restart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企业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机构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社会公益组织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法律服务机构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其他</w:t>
            </w:r>
          </w:p>
        </w:tc>
        <w:tc>
          <w:tcPr>
            <w:tcW w:w="353" w:type="pct"/>
            <w:vMerge w:val="continue"/>
            <w:tcBorders>
              <w:top w:val="single" w:color="auto" w:sz="8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restart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三、本年度办理结果</w:t>
            </w: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（一）予以公开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（三）不予公开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1.属于国家秘密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2.其他法律行政法规禁止公开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3.危及“三安全一稳定”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4.保护第三方合法权益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5.属于三类内部事务信息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6.属于四类过程性信息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7.属于行政执法案卷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8.属于行政查询事项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（四）无法提供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1.本机关不掌握相关政府信息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2.没有现成信息需要另行制作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3.补正后申请内容仍不明确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（五）不予处理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1.信访举报投诉类申请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3.要求提供公开出版物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4.无正当理由大量反复申请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79" w:hRule="atLeast"/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（六）其他处理</w:t>
            </w: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470" w:type="pct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168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3.其他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384" w:type="pct"/>
            <w:vMerge w:val="continue"/>
            <w:tcBorders>
              <w:top w:val="nil"/>
              <w:left w:val="single" w:color="auto" w:sz="8" w:space="0"/>
              <w:bottom w:val="outset" w:color="auto" w:sz="6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333333"/>
                <w:sz w:val="21"/>
                <w:szCs w:val="21"/>
              </w:rPr>
            </w:pPr>
          </w:p>
        </w:tc>
        <w:tc>
          <w:tcPr>
            <w:tcW w:w="2152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（七）总计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jc w:val="center"/>
        </w:trPr>
        <w:tc>
          <w:tcPr>
            <w:tcW w:w="2536" w:type="pct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1"/>
                <w:szCs w:val="21"/>
                <w:lang w:val="en-US" w:eastAsia="zh-CN" w:bidi="ar"/>
              </w:rPr>
              <w:t>四、结转下年度继续办理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5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四、政府信息公开行政复议、行政诉讼情况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578"/>
        <w:gridCol w:w="566"/>
        <w:gridCol w:w="566"/>
        <w:gridCol w:w="567"/>
        <w:gridCol w:w="567"/>
        <w:gridCol w:w="574"/>
        <w:gridCol w:w="567"/>
        <w:gridCol w:w="567"/>
        <w:gridCol w:w="568"/>
        <w:gridCol w:w="568"/>
        <w:gridCol w:w="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3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3336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331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1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166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166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1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Lines="0" w:afterAutospacing="0" w:line="30" w:lineRule="atLeast"/>
              <w:ind w:left="0" w:leftChars="0" w:right="0" w:rightChars="0" w:firstLine="0" w:firstLineChars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color w:val="333333"/>
                <w:kern w:val="2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3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2021年度街道政府信息公开工作不断推进，顺利完成了全年目标任务，但还在一些不足，如信息公开维护不及时，有时信息审核把关不严格等问题。下一步街道将采取以下措施积极完善政务公开工作：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一是切实加强政务公开工作的领导。根据机构改革后的设置和人员分工变动情况，及时调整政府信息公开工作领导小组，明确党政办专人具体负责政务公开工作，形成主要领导负总责，分管领导具体抓、党政办负责落实的工作机制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二是建立和完善政务公开规范制度。加强政府信息公开的责任感，建立和完善政务公开工作制度，规范政务公开办事公开程序，提升信息公开准确度，提高工作人员的综合素质，确保高质量公开信息。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三是强化工作指导和督促检查。要促进街道上下共同努力的良好氛围，提高干部对政务、信息公开工作的认识。加强对各部门信息报送工作的督促检查，持之以恒做好政务信息的及时公开和上报。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333333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firstLine="640" w:firstLineChars="2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A4C1B13-FA82-4601-9C27-127FF874EBE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CB9C104C-41AF-403D-B218-5581E084F44E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18F339B0-E4D3-4B0D-8193-B684060AA284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91490037-9C58-48A1-B99F-3B0DCF0F862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CF3FF182-1662-49FB-9105-B33E2C7FE83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4420F360-0CA1-4FF1-8711-1C52E951FEA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8B1E27"/>
    <w:rsid w:val="11EC416B"/>
    <w:rsid w:val="238B1E27"/>
    <w:rsid w:val="246E2621"/>
    <w:rsid w:val="380214FF"/>
    <w:rsid w:val="397119C0"/>
    <w:rsid w:val="454842F8"/>
    <w:rsid w:val="79FB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2021-12-21T15:19:00Z</dcterms:created>
  <dc:creator>WPS_1624785580</dc:creator>
  <cp:lastModifiedBy>温差</cp:lastModifiedBy>
  <cp:lastPrinted>2022-01-24T10:10:00Z</cp:lastPrinted>
  <dcterms:modified xsi:type="dcterms:W3CDTF">2022-01-24T11:30:50Z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05045356B2A1462F933F027AAA629564</vt:lpwstr>
  </property>
</Properties>
</file>