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055" w:tblpY="1243"/>
        <w:tblOverlap w:val="never"/>
        <w:tblW w:w="10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04"/>
        <w:gridCol w:w="2671"/>
        <w:gridCol w:w="901"/>
        <w:gridCol w:w="2416"/>
        <w:gridCol w:w="690"/>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1063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2022年重点项目支出绩效目标表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1063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（本表在项目库审核阶段报送）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8582"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申报单位(盖章）：</w:t>
            </w:r>
          </w:p>
        </w:tc>
        <w:tc>
          <w:tcPr>
            <w:tcW w:w="2053"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项目名称</w:t>
            </w:r>
          </w:p>
        </w:tc>
        <w:tc>
          <w:tcPr>
            <w:tcW w:w="8731"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r>
              <w:rPr>
                <w:rFonts w:hint="eastAsia" w:ascii="仿宋" w:hAnsi="仿宋" w:eastAsia="仿宋" w:cs="仿宋"/>
                <w:i w:val="0"/>
                <w:color w:val="000000"/>
                <w:sz w:val="20"/>
                <w:szCs w:val="20"/>
                <w:u w:val="none"/>
              </w:rPr>
              <w:t>维稳处突化解工作专项（含信息化建设、综合治理建设、扫黑除恶、执法监督、国家安全专项）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trPr>
        <w:tc>
          <w:tcPr>
            <w:tcW w:w="19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对应一级项目名称</w:t>
            </w:r>
          </w:p>
        </w:tc>
        <w:tc>
          <w:tcPr>
            <w:tcW w:w="3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r>
              <w:rPr>
                <w:rFonts w:hint="eastAsia" w:ascii="仿宋" w:hAnsi="仿宋" w:eastAsia="仿宋" w:cs="仿宋"/>
                <w:i w:val="0"/>
                <w:color w:val="000000"/>
                <w:sz w:val="20"/>
                <w:szCs w:val="20"/>
                <w:u w:val="none"/>
              </w:rPr>
              <w:t>维稳处突化解工作专项（含信息化建设、综合治理建设、扫黑除恶、执法监督、国家安全专项）</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一级部门名称</w:t>
            </w:r>
          </w:p>
        </w:tc>
        <w:tc>
          <w:tcPr>
            <w:tcW w:w="2743"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764"/>
              </w:tabs>
              <w:jc w:val="left"/>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中共黄石市西塞山区委政法委员会</w:t>
            </w:r>
            <w:r>
              <w:rPr>
                <w:rFonts w:hint="eastAsia" w:ascii="仿宋" w:hAnsi="仿宋" w:eastAsia="仿宋" w:cs="仿宋"/>
                <w:i w:val="0"/>
                <w:color w:val="000000"/>
                <w:sz w:val="22"/>
                <w:szCs w:val="22"/>
                <w:u w:val="none"/>
                <w:lang w:eastAsia="zh-CN"/>
              </w:rPr>
              <w:tab/>
            </w:r>
            <w:r>
              <w:rPr>
                <w:rFonts w:hint="eastAsia" w:ascii="仿宋" w:hAnsi="仿宋" w:eastAsia="仿宋" w:cs="仿宋"/>
                <w:i w:val="0"/>
                <w:color w:val="000000"/>
                <w:sz w:val="22"/>
                <w:szCs w:val="22"/>
                <w:u w:val="none"/>
                <w:lang w:eastAsia="zh-CN"/>
              </w:rPr>
              <w:tab/>
            </w:r>
            <w:r>
              <w:rPr>
                <w:rFonts w:hint="eastAsia" w:ascii="仿宋" w:hAnsi="仿宋" w:eastAsia="仿宋" w:cs="仿宋"/>
                <w:i w:val="0"/>
                <w:color w:val="000000"/>
                <w:sz w:val="22"/>
                <w:szCs w:val="22"/>
                <w:u w:val="none"/>
                <w:lang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90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项目属性</w:t>
            </w:r>
          </w:p>
        </w:tc>
        <w:tc>
          <w:tcPr>
            <w:tcW w:w="3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持续性项目☑</w:t>
            </w:r>
          </w:p>
        </w:tc>
        <w:tc>
          <w:tcPr>
            <w:tcW w:w="515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9" w:hRule="atLeast"/>
        </w:trPr>
        <w:tc>
          <w:tcPr>
            <w:tcW w:w="190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项目分类</w:t>
            </w:r>
          </w:p>
        </w:tc>
        <w:tc>
          <w:tcPr>
            <w:tcW w:w="3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常年性项目☑</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延续性项目□</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5" w:hRule="atLeast"/>
        </w:trPr>
        <w:tc>
          <w:tcPr>
            <w:tcW w:w="190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项目类别</w:t>
            </w:r>
          </w:p>
        </w:tc>
        <w:tc>
          <w:tcPr>
            <w:tcW w:w="3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其他运转类☑</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特定目标类——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本级支出项目□</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特定目标类——</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转移性支出项目□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项目总预算</w:t>
            </w:r>
          </w:p>
        </w:tc>
        <w:tc>
          <w:tcPr>
            <w:tcW w:w="357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368.00</w:t>
            </w:r>
          </w:p>
        </w:tc>
        <w:tc>
          <w:tcPr>
            <w:tcW w:w="2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项目当年预算</w:t>
            </w:r>
          </w:p>
        </w:tc>
        <w:tc>
          <w:tcPr>
            <w:tcW w:w="274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1904"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项目资金来源</w:t>
            </w:r>
          </w:p>
        </w:tc>
        <w:tc>
          <w:tcPr>
            <w:tcW w:w="3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资金总额</w:t>
            </w:r>
          </w:p>
        </w:tc>
        <w:tc>
          <w:tcPr>
            <w:tcW w:w="51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04"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公共预算财政拨款</w:t>
            </w:r>
          </w:p>
        </w:tc>
        <w:tc>
          <w:tcPr>
            <w:tcW w:w="51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1904"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政府性基金预算财政拨款</w:t>
            </w:r>
          </w:p>
        </w:tc>
        <w:tc>
          <w:tcPr>
            <w:tcW w:w="5159"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1904"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572"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其他资金</w:t>
            </w:r>
          </w:p>
        </w:tc>
        <w:tc>
          <w:tcPr>
            <w:tcW w:w="5159"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904"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572"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其中：使用上年度财政拨款结余</w:t>
            </w:r>
          </w:p>
        </w:tc>
        <w:tc>
          <w:tcPr>
            <w:tcW w:w="5159"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支出功能类科目</w:t>
            </w:r>
          </w:p>
        </w:tc>
        <w:tc>
          <w:tcPr>
            <w:tcW w:w="357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类：</w:t>
            </w:r>
          </w:p>
        </w:tc>
        <w:tc>
          <w:tcPr>
            <w:tcW w:w="241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款：</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项目概况、内容及依据</w:t>
            </w:r>
          </w:p>
        </w:tc>
        <w:tc>
          <w:tcPr>
            <w:tcW w:w="873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用于维稳处突化解工作经费、信息化建设工作、综合治理建设工作、扫黑除恶工作、执法监督工作、国家安全工作经费</w:t>
            </w:r>
            <w:r>
              <w:rPr>
                <w:rFonts w:hint="eastAsia" w:ascii="仿宋" w:hAnsi="仿宋" w:eastAsia="仿宋" w:cs="仿宋"/>
                <w:i w:val="0"/>
                <w:color w:val="000000"/>
                <w:kern w:val="0"/>
                <w:sz w:val="22"/>
                <w:szCs w:val="22"/>
                <w:u w:val="none"/>
                <w:lang w:val="en-US" w:eastAsia="zh-CN" w:bidi="ar"/>
              </w:rPr>
              <w:tab/>
            </w:r>
            <w:r>
              <w:rPr>
                <w:rFonts w:hint="eastAsia" w:ascii="仿宋" w:hAnsi="仿宋" w:eastAsia="仿宋" w:cs="仿宋"/>
                <w:i w:val="0"/>
                <w:color w:val="000000"/>
                <w:kern w:val="0"/>
                <w:sz w:val="22"/>
                <w:szCs w:val="22"/>
                <w:u w:val="none"/>
                <w:lang w:val="en-US" w:eastAsia="zh-CN" w:bidi="ar"/>
              </w:rPr>
              <w:tab/>
            </w:r>
            <w:r>
              <w:rPr>
                <w:rFonts w:hint="eastAsia" w:ascii="仿宋" w:hAnsi="仿宋" w:eastAsia="仿宋" w:cs="仿宋"/>
                <w:i w:val="0"/>
                <w:color w:val="000000"/>
                <w:kern w:val="0"/>
                <w:sz w:val="22"/>
                <w:szCs w:val="22"/>
                <w:u w:val="none"/>
                <w:lang w:val="en-US" w:eastAsia="zh-CN" w:bidi="ar"/>
              </w:rPr>
              <w:tab/>
            </w:r>
            <w:r>
              <w:rPr>
                <w:rFonts w:hint="eastAsia" w:ascii="仿宋" w:hAnsi="仿宋" w:eastAsia="仿宋" w:cs="仿宋"/>
                <w:i w:val="0"/>
                <w:color w:val="000000"/>
                <w:kern w:val="0"/>
                <w:sz w:val="22"/>
                <w:szCs w:val="22"/>
                <w:u w:val="none"/>
                <w:lang w:val="en-US" w:eastAsia="zh-CN" w:bidi="ar"/>
              </w:rPr>
              <w:tab/>
            </w:r>
            <w:r>
              <w:rPr>
                <w:rFonts w:hint="eastAsia" w:ascii="仿宋" w:hAnsi="仿宋" w:eastAsia="仿宋" w:cs="仿宋"/>
                <w:i w:val="0"/>
                <w:color w:val="000000"/>
                <w:kern w:val="0"/>
                <w:sz w:val="22"/>
                <w:szCs w:val="22"/>
                <w:u w:val="none"/>
                <w:lang w:val="en-US" w:eastAsia="zh-CN" w:bidi="ar"/>
              </w:rPr>
              <w:tab/>
            </w:r>
            <w:r>
              <w:rPr>
                <w:rFonts w:hint="eastAsia" w:ascii="仿宋" w:hAnsi="仿宋" w:eastAsia="仿宋" w:cs="仿宋"/>
                <w:i w:val="0"/>
                <w:color w:val="000000"/>
                <w:kern w:val="0"/>
                <w:sz w:val="22"/>
                <w:szCs w:val="22"/>
                <w:u w:val="none"/>
                <w:lang w:val="en-US" w:eastAsia="zh-CN" w:bidi="ar"/>
              </w:rPr>
              <w:tab/>
            </w:r>
            <w:r>
              <w:rPr>
                <w:rFonts w:hint="eastAsia" w:ascii="仿宋" w:hAnsi="仿宋" w:eastAsia="仿宋" w:cs="仿宋"/>
                <w:i w:val="0"/>
                <w:color w:val="000000"/>
                <w:kern w:val="0"/>
                <w:sz w:val="22"/>
                <w:szCs w:val="22"/>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项目前两年预算安排、使用情况及当年预算变动情况</w:t>
            </w:r>
          </w:p>
        </w:tc>
        <w:tc>
          <w:tcPr>
            <w:tcW w:w="873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405"/>
              </w:tabs>
              <w:jc w:val="both"/>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与前两年预算安排持平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项目支出明细预算</w:t>
            </w: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项目支出明细</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1、敏感期间接访及重点人员困难救助等经费</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2、驻京专班人员工作经费</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3、综合治理</w:t>
            </w:r>
            <w:bookmarkStart w:id="0" w:name="_GoBack"/>
            <w:bookmarkEnd w:id="0"/>
            <w:r>
              <w:rPr>
                <w:rFonts w:hint="eastAsia" w:ascii="仿宋" w:hAnsi="仿宋" w:eastAsia="仿宋" w:cs="仿宋"/>
                <w:i w:val="0"/>
                <w:iCs w:val="0"/>
                <w:color w:val="000000"/>
                <w:kern w:val="0"/>
                <w:sz w:val="22"/>
                <w:szCs w:val="22"/>
                <w:u w:val="none"/>
                <w:lang w:val="en-US" w:eastAsia="zh-CN" w:bidi="ar"/>
              </w:rPr>
              <w:t>宣传手册、宣传栏、文件印制等</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4、开展扫黑除恶工作，办理扫黑除恶案件，制作扫黑除恶宣传标语等经费</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5、法学会、案件评查、执法监督宣传等经费</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6、印制铁路护路宣传牌、平安创建宣传单、开展平安创建宣传活动、综治视联网建设及市域综合治理工作等经费</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7、机关信息化建设</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                 计</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b/>
                <w:i w:val="0"/>
                <w:color w:val="000000"/>
                <w:sz w:val="24"/>
                <w:szCs w:val="24"/>
                <w:u w:val="none"/>
                <w:lang w:val="en-US" w:eastAsia="zh-CN"/>
              </w:rPr>
            </w:pPr>
            <w:r>
              <w:rPr>
                <w:rFonts w:hint="eastAsia" w:ascii="仿宋" w:hAnsi="仿宋" w:eastAsia="仿宋" w:cs="仿宋"/>
                <w:b/>
                <w:i w:val="0"/>
                <w:color w:val="000000"/>
                <w:sz w:val="24"/>
                <w:szCs w:val="24"/>
                <w:u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5"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测算依据及说明</w:t>
            </w:r>
          </w:p>
        </w:tc>
        <w:tc>
          <w:tcPr>
            <w:tcW w:w="873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r>
              <w:rPr>
                <w:rFonts w:hint="eastAsia" w:ascii="仿宋" w:hAnsi="仿宋" w:eastAsia="仿宋" w:cs="仿宋"/>
                <w:i w:val="0"/>
                <w:color w:val="000000"/>
                <w:sz w:val="22"/>
                <w:szCs w:val="22"/>
                <w:u w:val="none"/>
              </w:rPr>
              <w:t>根据以前年度工作经费测算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项目绩效目标</w:t>
            </w:r>
          </w:p>
        </w:tc>
        <w:tc>
          <w:tcPr>
            <w:tcW w:w="59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中期目标</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59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年中完成50%</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年底完成100%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目</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度</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标</w:t>
            </w:r>
          </w:p>
        </w:tc>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一级指标</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二级指标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指标内容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指标值</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标</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0"/>
                <w:szCs w:val="20"/>
                <w:u w:val="none"/>
                <w:lang w:val="en-US" w:eastAsia="zh-CN" w:bidi="ar"/>
              </w:rPr>
              <w:t>维稳处突化解工作专项（含信息化建设、综合治理建设、扫黑除恶、执法监督、国家安全专项）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0"/>
                <w:szCs w:val="20"/>
                <w:u w:val="none"/>
                <w:lang w:val="en-US" w:eastAsia="zh-CN" w:bidi="ar"/>
              </w:rPr>
              <w:t>维稳接访各类群体、重点人员上访事件；慰问重点人群、重点人员；有力打击涉黑涉恶人员；对特殊特困人员进行救助；努力提升群众工作安全感满意度；做好邪教人员教育转化等工作等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2023年底完成</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不以盈利为目的，不产生直接经济效益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社会效益指标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确保社会稳定，维护人民群众的根本利益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环境效益指标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确保社会稳定，维护人民群众的根本利益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可持续影响指标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确保社会稳定，维护人民群众的根本利益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可持续影响指标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具体指标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提升群众获得感幸福感满意度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具体指标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0"/>
                <w:szCs w:val="20"/>
                <w:u w:val="none"/>
                <w:lang w:val="en-US" w:eastAsia="zh-CN" w:bidi="ar"/>
              </w:rPr>
              <w:t>维稳处突化解工作专项（含信息化建设、综合治理建设、扫黑除恶、执法监督、国家安全专项）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0"/>
                <w:szCs w:val="20"/>
                <w:u w:val="none"/>
                <w:lang w:val="en-US" w:eastAsia="zh-CN" w:bidi="ar"/>
              </w:rPr>
              <w:t>维稳接访各类群体、重点人员上访事件；慰问重点人群、重点人员；有力打击涉黑涉恶人员；对特殊特困人员进行救助；努力提升群众工作安全感满意度；做好邪教人员教育转化等工作等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2023年底完成</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益</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标</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不以盈利为目的，不产生直接经济效益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社会效益指标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确保社会稳定，维护人民群众的根本利益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环境效益指标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确保社会稳定，维护人民群众的根本利益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可持续影响指标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确保社会稳定，维护人民群众的根本利益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可持续影响指标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具体指标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提升群众获得感幸福感满意度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具体指标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0"/>
                <w:szCs w:val="20"/>
                <w:u w:val="none"/>
                <w:lang w:val="en-US" w:eastAsia="zh-CN" w:bidi="ar"/>
              </w:rPr>
              <w:t>维稳处突化解工作专项（含信息化建设、综合治理建设、扫黑除恶、执法监督、国家安全专项）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0"/>
                <w:szCs w:val="20"/>
                <w:u w:val="none"/>
                <w:lang w:val="en-US" w:eastAsia="zh-CN" w:bidi="ar"/>
              </w:rPr>
              <w:t>维稳接访各类群体、重点人员上访事件；慰问重点人群、重点人员；有力打击涉黑涉恶人员；对特殊特困人员进行救助；努力提升群众工作安全感满意度；做好邪教人员教育转化等工作等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2023年底完成</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服务对象满意度指标</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不以盈利为目的，不产生直接经济效益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r>
    </w:tbl>
    <w:p>
      <w:pPr>
        <w:numPr>
          <w:ilvl w:val="0"/>
          <w:numId w:val="0"/>
        </w:numPr>
        <w:ind w:leftChars="0"/>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p>
      <w:pPr>
        <w:widowControl w:val="0"/>
        <w:numPr>
          <w:ilvl w:val="0"/>
          <w:numId w:val="0"/>
        </w:numPr>
        <w:jc w:val="both"/>
        <w:rPr>
          <w:rFonts w:hint="default"/>
          <w:b/>
          <w:bCs/>
          <w:color w:val="auto"/>
          <w:sz w:val="28"/>
          <w:szCs w:val="28"/>
          <w:lang w:val="en-US" w:eastAsia="zh-CN"/>
        </w:rPr>
      </w:pPr>
    </w:p>
    <w:tbl>
      <w:tblPr>
        <w:tblStyle w:val="3"/>
        <w:tblW w:w="9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6"/>
        <w:gridCol w:w="1081"/>
        <w:gridCol w:w="1371"/>
        <w:gridCol w:w="2181"/>
        <w:gridCol w:w="1881"/>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926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2022年重点项目支出绩效目标表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926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（本表在项目库审核阶段报送）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784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申报单位(盖章）：西塞山区教育局</w:t>
            </w:r>
          </w:p>
        </w:tc>
        <w:tc>
          <w:tcPr>
            <w:tcW w:w="1420"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w:t>
            </w:r>
          </w:p>
        </w:tc>
        <w:tc>
          <w:tcPr>
            <w:tcW w:w="7934" w:type="dxa"/>
            <w:gridSpan w:val="5"/>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教育奖励专项资金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132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对应一级项目名称</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教育奖励专项资金</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一级部门名称</w:t>
            </w:r>
          </w:p>
        </w:tc>
        <w:tc>
          <w:tcPr>
            <w:tcW w:w="330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西塞山区教育局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32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项目属性</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持续性项目</w:t>
            </w:r>
            <w:r>
              <w:rPr>
                <w:rStyle w:val="5"/>
                <w:rFonts w:eastAsia="仿宋"/>
                <w:lang w:val="en-US" w:eastAsia="zh-CN" w:bidi="ar"/>
              </w:rPr>
              <w:t>√</w:t>
            </w:r>
          </w:p>
        </w:tc>
        <w:tc>
          <w:tcPr>
            <w:tcW w:w="54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32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项目分类</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常年性项目√</w:t>
            </w:r>
          </w:p>
        </w:tc>
        <w:tc>
          <w:tcPr>
            <w:tcW w:w="2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延续性项目□</w:t>
            </w:r>
          </w:p>
        </w:tc>
        <w:tc>
          <w:tcPr>
            <w:tcW w:w="3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trPr>
        <w:tc>
          <w:tcPr>
            <w:tcW w:w="132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项目类别</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其他运转类□</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特定目标类——</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本级支出项目√</w:t>
            </w:r>
          </w:p>
        </w:tc>
        <w:tc>
          <w:tcPr>
            <w:tcW w:w="3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特定目标类——</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转移性支出项目□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项目总预算</w:t>
            </w:r>
          </w:p>
        </w:tc>
        <w:tc>
          <w:tcPr>
            <w:tcW w:w="245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218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项目当年预算</w:t>
            </w:r>
          </w:p>
        </w:tc>
        <w:tc>
          <w:tcPr>
            <w:tcW w:w="330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326"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项目资金来源</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资金总额</w:t>
            </w:r>
          </w:p>
        </w:tc>
        <w:tc>
          <w:tcPr>
            <w:tcW w:w="548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3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公共预算财政拨款</w:t>
            </w:r>
          </w:p>
        </w:tc>
        <w:tc>
          <w:tcPr>
            <w:tcW w:w="548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3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政府性基金预算财政拨款</w:t>
            </w:r>
          </w:p>
        </w:tc>
        <w:tc>
          <w:tcPr>
            <w:tcW w:w="5482" w:type="dxa"/>
            <w:gridSpan w:val="3"/>
            <w:tcBorders>
              <w:top w:val="single" w:color="000000" w:sz="4" w:space="0"/>
              <w:left w:val="nil"/>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52"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其他资金</w:t>
            </w:r>
          </w:p>
        </w:tc>
        <w:tc>
          <w:tcPr>
            <w:tcW w:w="5482" w:type="dxa"/>
            <w:gridSpan w:val="3"/>
            <w:tcBorders>
              <w:top w:val="single" w:color="000000" w:sz="4" w:space="0"/>
              <w:left w:val="nil"/>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3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452"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其中：使用上年度财政拨款结余</w:t>
            </w:r>
          </w:p>
        </w:tc>
        <w:tc>
          <w:tcPr>
            <w:tcW w:w="5482"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支出功能类科目</w:t>
            </w:r>
          </w:p>
        </w:tc>
        <w:tc>
          <w:tcPr>
            <w:tcW w:w="245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类：</w:t>
            </w:r>
          </w:p>
        </w:tc>
        <w:tc>
          <w:tcPr>
            <w:tcW w:w="218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款：</w:t>
            </w:r>
          </w:p>
        </w:tc>
        <w:tc>
          <w:tcPr>
            <w:tcW w:w="33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项目概况、内容及依据</w:t>
            </w:r>
          </w:p>
        </w:tc>
        <w:tc>
          <w:tcPr>
            <w:tcW w:w="79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指导、协调教育系统干部培训工作负责推进义务教育均衡发展和促进教育公平,负责义务教育的宏观指导与协调:管理指导普通中小学教育、全国实施素质教育;督促检查全区各类学校的办学标准、教学基本要求、教学基本文件的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7"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项目前两年预算安排、使用情况及当年预算变动情况</w:t>
            </w:r>
          </w:p>
        </w:tc>
        <w:tc>
          <w:tcPr>
            <w:tcW w:w="79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每年安排预算资金100万元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项目支出明细预算</w:t>
            </w: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项目支出明细</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1、各学校教育奖励专项支出</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                 计</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测算依据及说明</w:t>
            </w:r>
          </w:p>
        </w:tc>
        <w:tc>
          <w:tcPr>
            <w:tcW w:w="79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管理指导普通中小学教育、全国实施素质教育;督促检查全区各类学校的办学标准、教学基本要求、教学基本文件的落实情况。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项目绩效目标</w:t>
            </w:r>
          </w:p>
        </w:tc>
        <w:tc>
          <w:tcPr>
            <w:tcW w:w="4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中期目标</w:t>
            </w:r>
          </w:p>
        </w:tc>
        <w:tc>
          <w:tcPr>
            <w:tcW w:w="33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负责义务教育的宏观指导与协调:管理指导普通中小学教育、全国实施素质教育;督促检查全区各类学校的办学标准、教学基本要求、教学基本文件的落实情况。</w:t>
            </w:r>
          </w:p>
        </w:tc>
        <w:tc>
          <w:tcPr>
            <w:tcW w:w="33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负责义务教育的宏观指导与协调:管理指导普通中小学教育、全国实施素质教育;督促检查全区各类学校的办学标准、教学基本要求、教学基本文件的落实情况。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年</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绩</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指</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一级指标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二级指标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指标内容</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指标值</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产</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指</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标</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项目资金运行覆盖的学校数量</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16个</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质量指标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项目资金运行教学质量提高</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时效指标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项目资金运行完成的时限</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10月底</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成本指标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益</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指</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标</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经济效益指标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社会效益指标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项目资金运行产生的社会效益</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满意度良好</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环境效益指标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可持续影响指标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项目资金运行对教育事业的可持续影响</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持续良好影响</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服务对象满意度指标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具体指标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项目资金运行服务对满意度</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bl>
    <w:p>
      <w:pPr>
        <w:widowControl w:val="0"/>
        <w:numPr>
          <w:ilvl w:val="0"/>
          <w:numId w:val="0"/>
        </w:numPr>
        <w:jc w:val="both"/>
        <w:rPr>
          <w:rFonts w:hint="default"/>
          <w:b/>
          <w:bCs/>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YjIzNmRiNTVkYTFkZDBmNThmNGQ5ZGM1ZTkyMzcifQ=="/>
  </w:docVars>
  <w:rsids>
    <w:rsidRoot w:val="00000000"/>
    <w:rsid w:val="087A7317"/>
    <w:rsid w:val="0A6957BB"/>
    <w:rsid w:val="0F6C51EF"/>
    <w:rsid w:val="1F654693"/>
    <w:rsid w:val="243802B2"/>
    <w:rsid w:val="27AF3E15"/>
    <w:rsid w:val="30C85883"/>
    <w:rsid w:val="3B461E54"/>
    <w:rsid w:val="4D3B7DA3"/>
    <w:rsid w:val="570363BD"/>
    <w:rsid w:val="64BD2528"/>
    <w:rsid w:val="67260074"/>
    <w:rsid w:val="6BE741CA"/>
    <w:rsid w:val="6E797BF3"/>
    <w:rsid w:val="7599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91"/>
    <w:basedOn w:val="4"/>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2350</Words>
  <Characters>2504</Characters>
  <Lines>0</Lines>
  <Paragraphs>0</Paragraphs>
  <TotalTime>1</TotalTime>
  <ScaleCrop>false</ScaleCrop>
  <LinksUpToDate>false</LinksUpToDate>
  <CharactersWithSpaces>2552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2023-04-25T02:18:00Z</dcterms:created>
  <dc:creator>Administrator</dc:creator>
  <cp:lastModifiedBy>温差</cp:lastModifiedBy>
  <dcterms:modified xsi:type="dcterms:W3CDTF">2023-07-26T09:39:24Z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6854F596CF1C4F339C46743BAF2EAD59_13</vt:lpwstr>
  </property>
</Properties>
</file>