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区政数局2022年</w:t>
      </w:r>
      <w:r>
        <w:rPr>
          <w:rFonts w:hint="eastAsia" w:ascii="方正小标宋_GBK" w:hAnsi="方正小标宋_GBK" w:eastAsia="方正小标宋_GBK" w:cs="方正小标宋_GBK"/>
          <w:b w:val="0"/>
          <w:bCs w:val="0"/>
          <w:color w:val="auto"/>
          <w:sz w:val="44"/>
          <w:szCs w:val="44"/>
        </w:rPr>
        <w:t>政府信息公开工作年度报告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left="0" w:firstLine="420"/>
        <w:jc w:val="both"/>
        <w:textAlignment w:val="auto"/>
        <w:rPr>
          <w:rFonts w:hint="eastAsia" w:ascii="宋体" w:hAnsi="宋体" w:eastAsia="宋体" w:cs="宋体"/>
          <w:color w:val="auto"/>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政府信息公开条例》要求，特向社会公开2022年度由西塞山区政数局编制的政府信息公开年度报告。全文包括政府信息主动公开情况;政府信息依申请公开和不予公开情况;行政复议和行政诉讼情况;存在的主要问题和改进情况。本报告中所列数据的统计期限自2022年1月1日起至2022年12月31日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（1）政府信息主动公开情况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default" w:ascii="仿宋" w:hAnsi="仿宋" w:eastAsia="仿宋_GB2312"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区政数局作为西塞山区</w:t>
      </w:r>
      <w:r>
        <w:rPr>
          <w:rFonts w:ascii="Times New Roman" w:hAnsi="Times New Roman" w:eastAsia="仿宋_GB2312" w:cs="Times New Roman"/>
          <w:color w:val="auto"/>
          <w:sz w:val="32"/>
          <w:szCs w:val="32"/>
        </w:rPr>
        <w:t>政府信息公开工作机构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常态化负责全区各部门政务信息挂网工作，</w:t>
      </w:r>
      <w:r>
        <w:rPr>
          <w:rFonts w:hint="eastAsia" w:ascii="仿宋" w:hAnsi="仿宋" w:eastAsia="仿宋" w:cs="仿宋"/>
          <w:color w:val="auto"/>
          <w:kern w:val="0"/>
          <w:sz w:val="32"/>
          <w:szCs w:val="32"/>
          <w:lang w:val="en-US" w:eastAsia="zh-CN" w:bidi="ar"/>
        </w:rPr>
        <w:t>全年主动公开本部门制作信息7条。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（2）政府信息依申请公开情况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我局全年未收到群众申请公开本部门信息。作为西塞山区</w:t>
      </w:r>
      <w:r>
        <w:rPr>
          <w:rFonts w:ascii="Times New Roman" w:hAnsi="Times New Roman" w:eastAsia="仿宋_GB2312" w:cs="Times New Roman"/>
          <w:color w:val="auto"/>
          <w:sz w:val="32"/>
          <w:szCs w:val="32"/>
        </w:rPr>
        <w:t>政府信息公开工作机构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收到群众向西塞山区政府申请公开信息5人6次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（3）政府信息管理情况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我局严格按照省、市和区级主管部门要求管理政府信息。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（4）政府信息公开平台建设情况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区政数局认真学习贯彻《省人民政府办事厅关于规范政府信息公开平台建设有关事项的通知》，积极主动向技术公司沟通请教，不断提升自身网站业务工作水平，根据实际工作调整栏目设置，常态化组织各部门按照要求和栏目归属更新平台信息内容。9月，在市政数局的统一领导和区政府办授权认可下将政府网站数据备案并迁移至市局平台，完善IPV6升级改造工作，进一步确保平台升级和数据安全两相统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Lines="0" w:afterAutospacing="0" w:line="560" w:lineRule="exact"/>
        <w:ind w:left="0" w:right="0"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Fonts w:hint="default" w:ascii="仿宋_GB2312" w:hAnsi="仿宋_GB2312" w:eastAsia="仿宋_GB2312" w:cs="仿宋_GB2312"/>
          <w:color w:val="auto"/>
          <w:sz w:val="32"/>
          <w:szCs w:val="40"/>
          <w:highlight w:val="none"/>
          <w:lang w:val="en-US" w:eastAsia="zh-CN"/>
        </w:rPr>
      </w:pPr>
      <w:r>
        <w:rPr>
          <w:rStyle w:val="9"/>
          <w:rFonts w:hint="eastAsia" w:ascii="仿宋_GB2312" w:hAnsi="仿宋_GB2312" w:eastAsia="仿宋_GB2312" w:cs="仿宋_GB2312"/>
          <w:b w:val="0"/>
          <w:bCs/>
          <w:color w:val="auto"/>
          <w:spacing w:val="24"/>
          <w:sz w:val="32"/>
          <w:szCs w:val="32"/>
          <w:lang w:val="en-US" w:eastAsia="zh-CN"/>
        </w:rPr>
        <w:t>一是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依托市级监测坚持对信息公开、互动交流、功能应用、集约化建设、政务新媒体、管理保障等方面进行自查整改，对于可立即整改的，行之有效的组织跨部门落实，对于历史遗留等疑难，详细梳理上报主管部门和政务督查室寻求督办解决。二是根据</w:t>
      </w:r>
      <w:r>
        <w:rPr>
          <w:rStyle w:val="9"/>
          <w:rFonts w:hint="eastAsia" w:ascii="仿宋_GB2312" w:hAnsi="仿宋_GB2312" w:eastAsia="仿宋_GB2312" w:cs="仿宋_GB2312"/>
          <w:b w:val="0"/>
          <w:bCs/>
          <w:color w:val="auto"/>
          <w:spacing w:val="24"/>
          <w:sz w:val="32"/>
          <w:szCs w:val="32"/>
          <w:lang w:val="en-US" w:eastAsia="zh-CN"/>
        </w:rPr>
        <w:t>年度政务公开工作要点，围绕各责任部门主动公开、依申请公开、年度重点工作和日常工作成效组织政务公开工作考评，并上级部门积极争取，将政务公开纳入我区年度量质化考核。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本年度主动公开政府信息数量统计如下表：</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2239"/>
        <w:gridCol w:w="2239"/>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本年制发件数</w:t>
            </w:r>
          </w:p>
        </w:tc>
        <w:tc>
          <w:tcPr>
            <w:tcW w:w="1250" w:type="pct"/>
            <w:tcBorders>
              <w:top w:val="single" w:color="auto" w:sz="8" w:space="0"/>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Calibri" w:hAnsi="Calibri" w:eastAsia="宋体" w:cs="Calibri"/>
                <w:color w:val="auto"/>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2</w:t>
            </w:r>
          </w:p>
        </w:tc>
        <w:tc>
          <w:tcPr>
            <w:tcW w:w="1250" w:type="pct"/>
            <w:tcBorders>
              <w:top w:val="nil"/>
              <w:left w:val="nil"/>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Calibri" w:hAnsi="Calibri" w:eastAsia="宋体" w:cs="Calibri"/>
                <w:color w:val="auto"/>
                <w:kern w:val="2"/>
                <w:sz w:val="21"/>
                <w:szCs w:val="21"/>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eastAsiaTheme="minorEastAsia"/>
                <w:color w:val="auto"/>
                <w:sz w:val="21"/>
                <w:szCs w:val="21"/>
                <w:lang w:val="en-US" w:eastAsia="zh-CN"/>
              </w:rPr>
            </w:pPr>
            <w:r>
              <w:rPr>
                <w:rFonts w:hint="eastAsia"/>
                <w:color w:val="auto"/>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eastAsiaTheme="minorEastAsia"/>
                <w:color w:val="auto"/>
                <w:sz w:val="21"/>
                <w:szCs w:val="21"/>
                <w:lang w:val="en-US" w:eastAsia="zh-CN"/>
              </w:rPr>
            </w:pPr>
            <w:r>
              <w:rPr>
                <w:rFonts w:hint="eastAsia"/>
                <w:color w:val="auto"/>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color w:val="auto"/>
                <w:sz w:val="21"/>
                <w:szCs w:val="21"/>
              </w:rPr>
            </w:pPr>
            <w:r>
              <w:rPr>
                <w:rFonts w:hint="eastAsia" w:ascii="宋体" w:hAnsi="宋体" w:eastAsia="宋体" w:cs="宋体"/>
                <w:color w:val="auto"/>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FFFFFF" w:themeFill="background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sz w:val="21"/>
                <w:szCs w:val="21"/>
              </w:rPr>
            </w:pPr>
            <w:r>
              <w:rPr>
                <w:rFonts w:hint="eastAsia" w:ascii="宋体" w:hAnsi="宋体" w:eastAsia="宋体" w:cs="宋体"/>
                <w:color w:val="auto"/>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本年度收到申请为0，作为</w:t>
      </w:r>
      <w:r>
        <w:rPr>
          <w:rFonts w:ascii="Times New Roman" w:hAnsi="Times New Roman" w:eastAsia="仿宋_GB2312" w:cs="Times New Roman"/>
          <w:color w:val="auto"/>
          <w:sz w:val="32"/>
          <w:szCs w:val="32"/>
        </w:rPr>
        <w:t>政府信息公开工作机构</w:t>
      </w:r>
      <w:r>
        <w:rPr>
          <w:rFonts w:hint="eastAsia" w:ascii="Times New Roman" w:hAnsi="Times New Roman" w:eastAsia="仿宋_GB2312" w:cs="Times New Roman"/>
          <w:color w:val="auto"/>
          <w:sz w:val="32"/>
          <w:szCs w:val="32"/>
          <w:lang w:val="en-US" w:eastAsia="zh-CN"/>
        </w:rPr>
        <w:t>处理政府信息公开申请数量总计为6，具体情况统计如下表：</w:t>
      </w:r>
    </w:p>
    <w:tbl>
      <w:tblPr>
        <w:tblStyle w:val="7"/>
        <w:tblW w:w="4942"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84"/>
        <w:gridCol w:w="839"/>
        <w:gridCol w:w="2995"/>
        <w:gridCol w:w="623"/>
        <w:gridCol w:w="623"/>
        <w:gridCol w:w="623"/>
        <w:gridCol w:w="623"/>
        <w:gridCol w:w="623"/>
        <w:gridCol w:w="638"/>
        <w:gridCol w:w="6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2462"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0"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法人或其他组织</w:t>
            </w:r>
          </w:p>
        </w:tc>
        <w:tc>
          <w:tcPr>
            <w:tcW w:w="353"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0"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企业</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机构</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社会公益组织</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法律服务机构</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w:t>
            </w:r>
          </w:p>
        </w:tc>
        <w:tc>
          <w:tcPr>
            <w:tcW w:w="353"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一、本年新收政府信息公开申请数量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二、上年结转政府信息公开申请数量</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（一）予以公开</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（二）部分公开（区分处理的，只计这一情形，不计其他情形）</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1.属于国家秘密</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5.要求行政机关确认或重新出具已获取信息</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3.其他</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（七）总计</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7"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四、结转下年度继续办理</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53" w:type="pct"/>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宋体" w:hAnsi="宋体" w:eastAsia="宋体" w:cs="宋体"/>
          <w:color w:val="auto"/>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本年度未因信息公开引起的行政复议、行政诉讼，具体情况统计如下表：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0"/>
        <w:gridCol w:w="600"/>
        <w:gridCol w:w="600"/>
        <w:gridCol w:w="600"/>
        <w:gridCol w:w="616"/>
        <w:gridCol w:w="600"/>
        <w:gridCol w:w="600"/>
        <w:gridCol w:w="601"/>
        <w:gridCol w:w="601"/>
        <w:gridCol w:w="614"/>
        <w:gridCol w:w="601"/>
        <w:gridCol w:w="601"/>
        <w:gridCol w:w="603"/>
        <w:gridCol w:w="603"/>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4"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3335"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（1）上年度存在的问题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36" w:firstLineChars="200"/>
        <w:textAlignment w:val="auto"/>
        <w:rPr>
          <w:rStyle w:val="9"/>
          <w:rFonts w:hint="eastAsia" w:ascii="仿宋_GB2312" w:hAnsi="仿宋_GB2312" w:eastAsia="仿宋_GB2312" w:cs="仿宋_GB2312"/>
          <w:b w:val="0"/>
          <w:bCs/>
          <w:color w:val="auto"/>
          <w:spacing w:val="24"/>
          <w:sz w:val="32"/>
          <w:szCs w:val="32"/>
        </w:rPr>
      </w:pPr>
      <w:r>
        <w:rPr>
          <w:rStyle w:val="9"/>
          <w:rFonts w:hint="eastAsia" w:ascii="仿宋_GB2312" w:hAnsi="仿宋_GB2312" w:eastAsia="仿宋_GB2312" w:cs="仿宋_GB2312"/>
          <w:b w:val="0"/>
          <w:bCs/>
          <w:color w:val="auto"/>
          <w:spacing w:val="24"/>
          <w:sz w:val="32"/>
          <w:szCs w:val="32"/>
        </w:rPr>
        <w:t>1.</w:t>
      </w:r>
      <w:r>
        <w:rPr>
          <w:rStyle w:val="9"/>
          <w:rFonts w:hint="eastAsia" w:ascii="仿宋_GB2312" w:hAnsi="仿宋_GB2312" w:eastAsia="仿宋_GB2312" w:cs="仿宋_GB2312"/>
          <w:b w:val="0"/>
          <w:bCs/>
          <w:color w:val="auto"/>
          <w:spacing w:val="24"/>
          <w:sz w:val="32"/>
          <w:szCs w:val="32"/>
          <w:lang w:eastAsia="zh-CN"/>
        </w:rPr>
        <w:t>组织公开</w:t>
      </w:r>
      <w:r>
        <w:rPr>
          <w:rStyle w:val="9"/>
          <w:rFonts w:hint="eastAsia" w:ascii="仿宋_GB2312" w:hAnsi="仿宋_GB2312" w:eastAsia="仿宋_GB2312" w:cs="仿宋_GB2312"/>
          <w:b w:val="0"/>
          <w:bCs/>
          <w:color w:val="auto"/>
          <w:spacing w:val="24"/>
          <w:sz w:val="32"/>
          <w:szCs w:val="32"/>
        </w:rPr>
        <w:t>力度</w:t>
      </w:r>
      <w:r>
        <w:rPr>
          <w:rStyle w:val="9"/>
          <w:rFonts w:hint="eastAsia" w:ascii="仿宋_GB2312" w:hAnsi="仿宋_GB2312" w:eastAsia="仿宋_GB2312" w:cs="仿宋_GB2312"/>
          <w:b w:val="0"/>
          <w:bCs/>
          <w:color w:val="auto"/>
          <w:spacing w:val="24"/>
          <w:sz w:val="32"/>
          <w:szCs w:val="32"/>
          <w:lang w:eastAsia="zh-CN"/>
        </w:rPr>
        <w:t>不足</w:t>
      </w:r>
      <w:r>
        <w:rPr>
          <w:rStyle w:val="9"/>
          <w:rFonts w:hint="eastAsia" w:ascii="仿宋_GB2312" w:hAnsi="仿宋_GB2312" w:eastAsia="仿宋_GB2312" w:cs="仿宋_GB2312"/>
          <w:b w:val="0"/>
          <w:bCs/>
          <w:color w:val="auto"/>
          <w:spacing w:val="24"/>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736" w:firstLineChars="200"/>
        <w:jc w:val="both"/>
        <w:textAlignment w:val="auto"/>
        <w:rPr>
          <w:rStyle w:val="9"/>
          <w:rFonts w:hint="eastAsia" w:ascii="仿宋_GB2312" w:hAnsi="仿宋_GB2312" w:eastAsia="仿宋_GB2312" w:cs="仿宋_GB2312"/>
          <w:b w:val="0"/>
          <w:bCs/>
          <w:color w:val="auto"/>
          <w:spacing w:val="24"/>
          <w:sz w:val="32"/>
          <w:szCs w:val="32"/>
        </w:rPr>
      </w:pPr>
      <w:r>
        <w:rPr>
          <w:rStyle w:val="9"/>
          <w:rFonts w:hint="eastAsia" w:ascii="仿宋_GB2312" w:hAnsi="仿宋_GB2312" w:eastAsia="仿宋_GB2312" w:cs="仿宋_GB2312"/>
          <w:b w:val="0"/>
          <w:bCs/>
          <w:color w:val="auto"/>
          <w:spacing w:val="24"/>
          <w:sz w:val="32"/>
          <w:szCs w:val="32"/>
          <w:lang w:val="en-US" w:eastAsia="zh-CN"/>
        </w:rPr>
        <w:t>2</w:t>
      </w:r>
      <w:r>
        <w:rPr>
          <w:rStyle w:val="9"/>
          <w:rFonts w:hint="eastAsia" w:ascii="仿宋_GB2312" w:hAnsi="仿宋_GB2312" w:eastAsia="仿宋_GB2312" w:cs="仿宋_GB2312"/>
          <w:b w:val="0"/>
          <w:bCs/>
          <w:color w:val="auto"/>
          <w:spacing w:val="24"/>
          <w:sz w:val="32"/>
          <w:szCs w:val="32"/>
        </w:rPr>
        <w:t>.队伍</w:t>
      </w:r>
      <w:r>
        <w:rPr>
          <w:rStyle w:val="9"/>
          <w:rFonts w:hint="eastAsia" w:ascii="仿宋_GB2312" w:hAnsi="仿宋_GB2312" w:eastAsia="仿宋_GB2312" w:cs="仿宋_GB2312"/>
          <w:b w:val="0"/>
          <w:bCs/>
          <w:color w:val="auto"/>
          <w:spacing w:val="24"/>
          <w:sz w:val="32"/>
          <w:szCs w:val="32"/>
          <w:lang w:eastAsia="zh-CN"/>
        </w:rPr>
        <w:t>公开</w:t>
      </w:r>
      <w:r>
        <w:rPr>
          <w:rStyle w:val="9"/>
          <w:rFonts w:hint="eastAsia" w:ascii="仿宋_GB2312" w:hAnsi="仿宋_GB2312" w:eastAsia="仿宋_GB2312" w:cs="仿宋_GB2312"/>
          <w:b w:val="0"/>
          <w:bCs/>
          <w:color w:val="auto"/>
          <w:spacing w:val="24"/>
          <w:sz w:val="32"/>
          <w:szCs w:val="32"/>
        </w:rPr>
        <w:t>能力</w:t>
      </w:r>
      <w:r>
        <w:rPr>
          <w:rStyle w:val="9"/>
          <w:rFonts w:hint="eastAsia" w:ascii="仿宋_GB2312" w:hAnsi="仿宋_GB2312" w:eastAsia="仿宋_GB2312" w:cs="仿宋_GB2312"/>
          <w:b w:val="0"/>
          <w:bCs/>
          <w:color w:val="auto"/>
          <w:spacing w:val="24"/>
          <w:sz w:val="32"/>
          <w:szCs w:val="32"/>
          <w:lang w:eastAsia="zh-CN"/>
        </w:rPr>
        <w:t>不优</w:t>
      </w:r>
      <w:r>
        <w:rPr>
          <w:rStyle w:val="9"/>
          <w:rFonts w:hint="eastAsia" w:ascii="仿宋_GB2312" w:hAnsi="仿宋_GB2312" w:eastAsia="仿宋_GB2312" w:cs="仿宋_GB2312"/>
          <w:b w:val="0"/>
          <w:bCs/>
          <w:color w:val="auto"/>
          <w:spacing w:val="24"/>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（2）上年度问题在本年度的改进情况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 w:hAnsi="仿宋" w:eastAsia="仿宋" w:cs="仿宋"/>
          <w:color w:val="auto"/>
          <w:sz w:val="32"/>
          <w:szCs w:val="32"/>
          <w:lang w:val="en-US" w:eastAsia="zh-CN"/>
        </w:rPr>
        <w:t>1.</w:t>
      </w:r>
      <w:r>
        <w:rPr>
          <w:rFonts w:hint="eastAsia" w:ascii="仿宋_GB2312" w:hAnsi="仿宋_GB2312" w:eastAsia="仿宋_GB2312" w:cs="仿宋_GB2312"/>
          <w:color w:val="auto"/>
          <w:sz w:val="32"/>
          <w:szCs w:val="32"/>
        </w:rPr>
        <w:t>印发《关于进一步加强西塞山区政务工作的通知》等文件进一步理顺管理体系，组织全区各责任部门对各栏目进行大批次更新</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2.强化对《政府信息公开条例》的学习理解，通过对省、市、区政府网站的横纵对比大幅提高对网站全方位建设标准的准确理解，从业务水平根本上提高队伍能力。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（3）本年度存在的问题</w:t>
      </w:r>
    </w:p>
    <w:p>
      <w:pPr>
        <w:pStyle w:val="2"/>
        <w:keepNext w:val="0"/>
        <w:keepLines w:val="0"/>
        <w:pageBreakBefore w:val="0"/>
        <w:numPr>
          <w:ilvl w:val="0"/>
          <w:numId w:val="0"/>
        </w:numPr>
        <w:kinsoku/>
        <w:wordWrap/>
        <w:overflowPunct/>
        <w:topLinePunct w:val="0"/>
        <w:autoSpaceDE/>
        <w:autoSpaceDN/>
        <w:bidi w:val="0"/>
        <w:adjustRightInd/>
        <w:snapToGrid/>
        <w:spacing w:after="0" w:afterLines="0"/>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专业技术人员缺乏。其他城区网站工作人员多属于数据、平台、技术服务人员，我局仅能调配一名文职人员对接网站工作，网站工作和指导水平有限。</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运维支撑经费不足。网站专项资金为全市末位第一，仅能支撑网站基本安全维护，对于动态指标捕捉及功能设计优化、美化等成长性考核要求，区政数局难以施为。</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（4）下年度改进举措</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强化业务知识学习。根据工作实际，尽可能培养非专业人员的业务能力水平，强化与上级主管部门及技术公司的友好交流，正向合作与对接学习。</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优化政企合作模式。基于专项资金缺乏的现实，针对网站建设现实问题与技术公司探讨合作，尽可能拓展指导性服务内容。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pStyle w:val="2"/>
        <w:wordWrap w:val="0"/>
        <w:ind w:left="0" w:leftChars="0" w:firstLine="0" w:firstLineChars="0"/>
        <w:jc w:val="center"/>
        <w:rPr>
          <w:rFonts w:hint="default" w:ascii="仿宋" w:hAnsi="仿宋" w:eastAsia="仿宋" w:cs="仿宋"/>
          <w:color w:val="auto"/>
          <w:sz w:val="32"/>
          <w:szCs w:val="32"/>
          <w:lang w:val="en-US" w:eastAsia="zh-CN"/>
        </w:rPr>
      </w:pPr>
      <w:bookmarkStart w:id="0" w:name="_GoBack"/>
      <w:bookmarkEnd w:id="0"/>
    </w:p>
    <w:sectPr>
      <w:pgSz w:w="11906" w:h="16838"/>
      <w:pgMar w:top="198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54D3C3-6279-43BD-A66C-298EA681AF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F458CC-DA6A-486E-86D3-A12F270F0193}"/>
  </w:font>
  <w:font w:name="方正小标宋_GBK">
    <w:panose1 w:val="02000000000000000000"/>
    <w:charset w:val="86"/>
    <w:family w:val="auto"/>
    <w:pitch w:val="default"/>
    <w:sig w:usb0="A00002BF" w:usb1="38CF7CFA" w:usb2="00082016" w:usb3="00000000" w:csb0="00040001" w:csb1="00000000"/>
    <w:embedRegular r:id="rId3" w:fontKey="{A1950965-DD01-42E1-B808-F8426B4BF145}"/>
  </w:font>
  <w:font w:name="仿宋">
    <w:panose1 w:val="02010609060101010101"/>
    <w:charset w:val="86"/>
    <w:family w:val="auto"/>
    <w:pitch w:val="default"/>
    <w:sig w:usb0="800002BF" w:usb1="38CF7CFA" w:usb2="00000016" w:usb3="00000000" w:csb0="00040001" w:csb1="00000000"/>
    <w:embedRegular r:id="rId4" w:fontKey="{7326A94B-951F-40CF-87E2-0371B8CA94D7}"/>
  </w:font>
  <w:font w:name="仿宋_GB2312">
    <w:panose1 w:val="02010609030101010101"/>
    <w:charset w:val="86"/>
    <w:family w:val="auto"/>
    <w:pitch w:val="default"/>
    <w:sig w:usb0="00000001" w:usb1="080E0000" w:usb2="00000000" w:usb3="00000000" w:csb0="00040000" w:csb1="00000000"/>
    <w:embedRegular r:id="rId5" w:fontKey="{D94647A3-774F-46B6-946F-E1A5B2BEF029}"/>
  </w:font>
  <w:font w:name="楷体">
    <w:panose1 w:val="02010609060101010101"/>
    <w:charset w:val="86"/>
    <w:family w:val="auto"/>
    <w:pitch w:val="default"/>
    <w:sig w:usb0="800002BF" w:usb1="38CF7CFA" w:usb2="00000016" w:usb3="00000000" w:csb0="00040001" w:csb1="00000000"/>
    <w:embedRegular r:id="rId6" w:fontKey="{EADC68F3-721E-4D3F-BBB9-FDE1F3600D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jIzNmRiNTVkYTFkZDBmNThmNGQ5ZGM1ZTkyMzcifQ=="/>
  </w:docVars>
  <w:rsids>
    <w:rsidRoot w:val="6D6A0137"/>
    <w:rsid w:val="11852B55"/>
    <w:rsid w:val="167C065E"/>
    <w:rsid w:val="1A2D32C8"/>
    <w:rsid w:val="3A2F759B"/>
    <w:rsid w:val="4BBF6AB5"/>
    <w:rsid w:val="531E2D4A"/>
    <w:rsid w:val="6D6A0137"/>
    <w:rsid w:val="757D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rFonts w:ascii="Times New Roman" w:hAnsi="Times New Roman"/>
      <w:sz w:val="18"/>
      <w:szCs w:val="2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szCs w:val="2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2224</Words>
  <Characters>2268</Characters>
  <Lines>0</Lines>
  <Paragraphs>0</Paragraphs>
  <TotalTime>0</TotalTime>
  <ScaleCrop>false</ScaleCrop>
  <LinksUpToDate>false</LinksUpToDate>
  <CharactersWithSpaces>2273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2023-01-16T07:04:00Z</dcterms:created>
  <dc:creator>温差</dc:creator>
  <cp:lastModifiedBy>温差</cp:lastModifiedBy>
  <dcterms:modified xsi:type="dcterms:W3CDTF">2023-04-28T09:53:40Z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3A79F8DB34BF40049A9927D938653E93</vt:lpwstr>
  </property>
</Properties>
</file>