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2" w:beforeAutospacing="0" w:after="242" w:afterAutospacing="0" w:line="700" w:lineRule="exact"/>
        <w:ind w:right="119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西塞山区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城市管理执法局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聘用制工作人员拟进入考察人员名单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胡源峰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李乘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占军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刘豪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周泽树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4438"/>
    <w:rsid w:val="076628B3"/>
    <w:rsid w:val="37054438"/>
    <w:rsid w:val="793037AA"/>
    <w:rsid w:val="7FEFDDDE"/>
    <w:rsid w:val="A7FFF4BE"/>
    <w:rsid w:val="FAFEB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346</Characters>
  <Lines>0</Lines>
  <Paragraphs>0</Paragraphs>
  <TotalTime>3</TotalTime>
  <ScaleCrop>false</ScaleCrop>
  <LinksUpToDate>false</LinksUpToDate>
  <CharactersWithSpaces>349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2022-11-30T19:41:00Z</dcterms:created>
  <dc:creator>Administrator</dc:creator>
  <cp:lastModifiedBy>老许想吃甜品啊啊啊</cp:lastModifiedBy>
  <cp:lastPrinted>2022-11-30T19:56:00Z</cp:lastPrinted>
  <dcterms:modified xsi:type="dcterms:W3CDTF">2023-06-21T09:57:46Z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67D930E1CEAA4FA79AA3C2A8767C1B4E</vt:lpwstr>
  </property>
</Properties>
</file>