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07" w:rsidRDefault="00535B0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535B07" w:rsidRDefault="00535B07">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535B07" w:rsidRDefault="00535B07">
      <w:pPr>
        <w:spacing w:line="520" w:lineRule="exact"/>
        <w:rPr>
          <w:rFonts w:ascii="仿宋_GB2312" w:eastAsia="仿宋_GB2312" w:hAnsi="仿宋_GB2312" w:cs="仿宋_GB2312"/>
          <w:sz w:val="32"/>
          <w:szCs w:val="32"/>
        </w:rPr>
      </w:pPr>
    </w:p>
    <w:p w:rsidR="00535B07" w:rsidRDefault="00535B0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535B07">
        <w:trPr>
          <w:trHeight w:val="454"/>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 w:eastAsia="仿宋" w:hAnsi="仿宋" w:cs="仿宋"/>
                <w:sz w:val="24"/>
                <w:szCs w:val="24"/>
              </w:rPr>
              <w:t>777587736</w:t>
            </w:r>
            <w:r>
              <w:rPr>
                <w:rFonts w:ascii="仿宋_GB2312" w:eastAsia="仿宋_GB2312" w:hAnsi="仿宋" w:cs="宋体"/>
                <w:color w:val="000000"/>
                <w:kern w:val="0"/>
                <w:sz w:val="24"/>
              </w:rPr>
              <w:t>-CF-11600</w:t>
            </w:r>
          </w:p>
        </w:tc>
      </w:tr>
      <w:tr w:rsidR="00535B07">
        <w:trPr>
          <w:trHeight w:val="454"/>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_GB2312" w:eastAsia="仿宋_GB2312" w:hAnsi="宋体" w:cs="宋体" w:hint="eastAsia"/>
                <w:kern w:val="0"/>
                <w:sz w:val="24"/>
              </w:rPr>
              <w:t>对未向原发证机关申请办理危险废物经营许可证变更手续的处罚</w:t>
            </w:r>
          </w:p>
        </w:tc>
      </w:tr>
      <w:tr w:rsidR="00535B07">
        <w:trPr>
          <w:trHeight w:val="454"/>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535B07" w:rsidRDefault="00535B07">
            <w:pPr>
              <w:widowControl/>
              <w:jc w:val="left"/>
              <w:rPr>
                <w:rFonts w:ascii="仿宋_GB2312" w:eastAsia="仿宋_GB2312" w:hAnsi="宋体" w:cs="宋体"/>
                <w:kern w:val="0"/>
                <w:sz w:val="24"/>
              </w:rPr>
            </w:pPr>
          </w:p>
        </w:tc>
      </w:tr>
      <w:tr w:rsidR="00535B07">
        <w:trPr>
          <w:trHeight w:val="454"/>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535B07">
        <w:trPr>
          <w:trHeight w:val="1726"/>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_GB2312" w:eastAsia="仿宋_GB2312" w:hAnsi="宋体" w:cs="宋体" w:hint="eastAsia"/>
                <w:kern w:val="0"/>
                <w:sz w:val="24"/>
              </w:rPr>
              <w:t>【法规】《危险废物经营许可证管理办法》</w:t>
            </w:r>
            <w:r>
              <w:rPr>
                <w:rFonts w:ascii="仿宋_GB2312" w:eastAsia="仿宋_GB2312" w:hAnsi="宋体" w:cs="宋体"/>
                <w:kern w:val="0"/>
                <w:sz w:val="24"/>
              </w:rPr>
              <w:t>(</w:t>
            </w:r>
            <w:r>
              <w:rPr>
                <w:rFonts w:ascii="仿宋_GB2312" w:eastAsia="仿宋_GB2312" w:hAnsi="宋体" w:cs="宋体" w:hint="eastAsia"/>
                <w:kern w:val="0"/>
                <w:sz w:val="24"/>
              </w:rPr>
              <w:t>中华人民共和国国务院令第</w:t>
            </w:r>
            <w:r>
              <w:rPr>
                <w:rFonts w:ascii="仿宋_GB2312" w:eastAsia="仿宋_GB2312" w:hAnsi="宋体" w:cs="宋体"/>
                <w:kern w:val="0"/>
                <w:sz w:val="24"/>
              </w:rPr>
              <w:t>408</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第二十二条　违反本办法第十一条规定的，由县级以上地方人民政府环境保护主管部门责令限期改正，给予警告；逾期不改正的，由原发证机关暂扣危险废物经营许可证</w:t>
            </w:r>
          </w:p>
        </w:tc>
      </w:tr>
      <w:tr w:rsidR="00535B07">
        <w:trPr>
          <w:trHeight w:val="928"/>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_GB2312" w:eastAsia="仿宋_GB2312" w:hAnsi="宋体" w:cs="宋体" w:hint="eastAsia"/>
                <w:kern w:val="0"/>
                <w:sz w:val="24"/>
              </w:rPr>
              <w:t>未向原发证机关申请办理危险废物经营许可证变更手续</w:t>
            </w:r>
          </w:p>
        </w:tc>
      </w:tr>
      <w:tr w:rsidR="00535B07">
        <w:trPr>
          <w:trHeight w:val="912"/>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警告；</w:t>
            </w:r>
          </w:p>
          <w:p w:rsidR="00535B07" w:rsidRDefault="00535B07">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暂扣危险废物经营许可证。</w:t>
            </w:r>
          </w:p>
        </w:tc>
      </w:tr>
      <w:tr w:rsidR="00535B07">
        <w:trPr>
          <w:trHeight w:val="90"/>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535B07" w:rsidRDefault="00535B07">
            <w:pPr>
              <w:widowControl/>
              <w:spacing w:line="360" w:lineRule="exact"/>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535B07">
        <w:trPr>
          <w:trHeight w:val="600"/>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535B07">
        <w:trPr>
          <w:trHeight w:val="600"/>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535B07" w:rsidRDefault="00535B07">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立案责任：通过举报、巡查（或者下级环境保护部门上报及其他机关移送的违法案件等），发现有未向原发证机关申请办理危险废物经营许可证变更手续的违法行为，予以审查，决定是否立案。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p>
          <w:p w:rsidR="00535B07" w:rsidRDefault="00535B07">
            <w:pPr>
              <w:widowControl/>
              <w:jc w:val="left"/>
              <w:rPr>
                <w:rFonts w:ascii="仿宋_GB2312" w:eastAsia="仿宋_GB2312" w:hAnsi="宋体" w:cs="宋体"/>
                <w:kern w:val="0"/>
                <w:sz w:val="24"/>
              </w:rPr>
            </w:pPr>
            <w:r>
              <w:rPr>
                <w:rFonts w:ascii="仿宋_GB2312" w:eastAsia="仿宋_GB2312" w:hAnsi="宋体" w:cs="宋体"/>
                <w:kern w:val="0"/>
                <w:sz w:val="24"/>
              </w:rP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p>
        </w:tc>
      </w:tr>
      <w:tr w:rsidR="00535B07">
        <w:trPr>
          <w:trHeight w:val="1548"/>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监管责任：对未向原发证机关申请办理危险废物经营许可证变更手续的监督检查。</w:t>
            </w:r>
          </w:p>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535B07">
        <w:trPr>
          <w:trHeight w:val="2258"/>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535B07">
        <w:trPr>
          <w:trHeight w:val="1392"/>
        </w:trPr>
        <w:tc>
          <w:tcPr>
            <w:tcW w:w="1657" w:type="dxa"/>
            <w:vAlign w:val="center"/>
          </w:tcPr>
          <w:p w:rsidR="00535B07" w:rsidRDefault="00535B07">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县级：县级以上地方人民政府环境保护主管部门责令限期改正，给予警告；逾期不改正的，由原发证机关暂扣危险废物经营许可证。</w:t>
            </w:r>
          </w:p>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二、相关依据</w:t>
            </w:r>
          </w:p>
          <w:p w:rsidR="00535B07" w:rsidRDefault="00535B07">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《危险废物经营许可证管理办法》</w:t>
            </w:r>
            <w:r>
              <w:rPr>
                <w:rFonts w:ascii="仿宋_GB2312" w:eastAsia="仿宋_GB2312" w:hAnsi="宋体" w:cs="宋体"/>
                <w:kern w:val="0"/>
                <w:sz w:val="24"/>
              </w:rPr>
              <w:t>(</w:t>
            </w:r>
            <w:r>
              <w:rPr>
                <w:rFonts w:ascii="仿宋_GB2312" w:eastAsia="仿宋_GB2312" w:hAnsi="宋体" w:cs="宋体" w:hint="eastAsia"/>
                <w:kern w:val="0"/>
                <w:sz w:val="24"/>
              </w:rPr>
              <w:t>中华人民共和国国务院令第</w:t>
            </w:r>
            <w:r>
              <w:rPr>
                <w:rFonts w:ascii="仿宋_GB2312" w:eastAsia="仿宋_GB2312" w:hAnsi="宋体" w:cs="宋体"/>
                <w:kern w:val="0"/>
                <w:sz w:val="24"/>
              </w:rPr>
              <w:t>408</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第二十二条　违反本办法第十一条规定的，由县级以上地方人民政府环境保护主管部门责令限期改正，给予警告；逾期不改正的，由原发证机关暂扣危险废物经营许可证。</w:t>
            </w:r>
          </w:p>
        </w:tc>
      </w:tr>
      <w:tr w:rsidR="00535B07">
        <w:trPr>
          <w:trHeight w:val="600"/>
        </w:trPr>
        <w:tc>
          <w:tcPr>
            <w:tcW w:w="1657" w:type="dxa"/>
            <w:vAlign w:val="center"/>
          </w:tcPr>
          <w:p w:rsidR="00535B07" w:rsidRDefault="00535B07">
            <w:pPr>
              <w:widowControl/>
              <w:jc w:val="center"/>
              <w:rPr>
                <w:rFonts w:eastAsia="黑体"/>
                <w:kern w:val="0"/>
                <w:sz w:val="24"/>
              </w:rPr>
            </w:pPr>
            <w:r>
              <w:rPr>
                <w:rFonts w:eastAsia="黑体" w:hint="eastAsia"/>
                <w:kern w:val="0"/>
                <w:sz w:val="24"/>
              </w:rPr>
              <w:t>承办机构</w:t>
            </w:r>
          </w:p>
        </w:tc>
        <w:tc>
          <w:tcPr>
            <w:tcW w:w="6865" w:type="dxa"/>
            <w:vAlign w:val="center"/>
          </w:tcPr>
          <w:p w:rsidR="00535B07" w:rsidRDefault="00535B07">
            <w:pPr>
              <w:widowControl/>
              <w:jc w:val="left"/>
              <w:rPr>
                <w:rFonts w:eastAsia="仿宋_GB2312"/>
                <w:kern w:val="0"/>
                <w:sz w:val="24"/>
              </w:rPr>
            </w:pPr>
            <w:r>
              <w:rPr>
                <w:rFonts w:eastAsia="仿宋_GB2312" w:hint="eastAsia"/>
                <w:kern w:val="0"/>
                <w:sz w:val="24"/>
              </w:rPr>
              <w:t>黄石市西塞山区环保局</w:t>
            </w:r>
          </w:p>
        </w:tc>
      </w:tr>
      <w:tr w:rsidR="00535B07">
        <w:trPr>
          <w:trHeight w:val="600"/>
        </w:trPr>
        <w:tc>
          <w:tcPr>
            <w:tcW w:w="1657" w:type="dxa"/>
            <w:vAlign w:val="center"/>
          </w:tcPr>
          <w:p w:rsidR="00535B07" w:rsidRDefault="00535B07">
            <w:pPr>
              <w:widowControl/>
              <w:jc w:val="center"/>
              <w:rPr>
                <w:rFonts w:eastAsia="黑体"/>
                <w:kern w:val="0"/>
                <w:sz w:val="24"/>
              </w:rPr>
            </w:pPr>
            <w:r>
              <w:rPr>
                <w:rFonts w:eastAsia="黑体" w:hint="eastAsia"/>
                <w:kern w:val="0"/>
                <w:sz w:val="24"/>
              </w:rPr>
              <w:t>咨询方式</w:t>
            </w:r>
          </w:p>
        </w:tc>
        <w:tc>
          <w:tcPr>
            <w:tcW w:w="6865" w:type="dxa"/>
            <w:vAlign w:val="center"/>
          </w:tcPr>
          <w:p w:rsidR="00535B07" w:rsidRDefault="00535B07">
            <w:pPr>
              <w:widowControl/>
              <w:jc w:val="left"/>
              <w:rPr>
                <w:rFonts w:eastAsia="仿宋_GB2312"/>
                <w:kern w:val="0"/>
                <w:sz w:val="24"/>
              </w:rPr>
            </w:pPr>
            <w:r>
              <w:rPr>
                <w:rFonts w:eastAsia="仿宋_GB2312"/>
                <w:kern w:val="0"/>
                <w:sz w:val="24"/>
              </w:rPr>
              <w:t xml:space="preserve">0714-6246616 </w:t>
            </w:r>
            <w:r>
              <w:rPr>
                <w:rFonts w:eastAsia="仿宋_GB2312" w:hint="eastAsia"/>
                <w:kern w:val="0"/>
                <w:sz w:val="24"/>
              </w:rPr>
              <w:t>黄石市颐阳路</w:t>
            </w:r>
            <w:r>
              <w:rPr>
                <w:rFonts w:eastAsia="仿宋_GB2312"/>
                <w:kern w:val="0"/>
                <w:sz w:val="24"/>
              </w:rPr>
              <w:t>579</w:t>
            </w:r>
            <w:r>
              <w:rPr>
                <w:rFonts w:eastAsia="仿宋_GB2312" w:hint="eastAsia"/>
                <w:kern w:val="0"/>
                <w:sz w:val="24"/>
              </w:rPr>
              <w:t>号局办公室</w:t>
            </w:r>
          </w:p>
        </w:tc>
      </w:tr>
      <w:tr w:rsidR="00535B07">
        <w:trPr>
          <w:trHeight w:val="600"/>
        </w:trPr>
        <w:tc>
          <w:tcPr>
            <w:tcW w:w="1657" w:type="dxa"/>
            <w:vAlign w:val="center"/>
          </w:tcPr>
          <w:p w:rsidR="00535B07" w:rsidRDefault="00535B07">
            <w:pPr>
              <w:widowControl/>
              <w:jc w:val="center"/>
              <w:rPr>
                <w:rFonts w:eastAsia="黑体"/>
                <w:kern w:val="0"/>
                <w:sz w:val="24"/>
              </w:rPr>
            </w:pPr>
            <w:r>
              <w:rPr>
                <w:rFonts w:eastAsia="黑体" w:hint="eastAsia"/>
                <w:kern w:val="0"/>
                <w:sz w:val="24"/>
              </w:rPr>
              <w:t>监督投诉方式</w:t>
            </w:r>
          </w:p>
        </w:tc>
        <w:tc>
          <w:tcPr>
            <w:tcW w:w="6865" w:type="dxa"/>
            <w:vAlign w:val="center"/>
          </w:tcPr>
          <w:p w:rsidR="00535B07" w:rsidRDefault="00535B07">
            <w:pPr>
              <w:widowControl/>
              <w:jc w:val="left"/>
              <w:rPr>
                <w:rFonts w:eastAsia="仿宋_GB2312"/>
                <w:kern w:val="0"/>
                <w:sz w:val="24"/>
              </w:rPr>
            </w:pPr>
            <w:r>
              <w:rPr>
                <w:rFonts w:eastAsia="仿宋_GB2312"/>
                <w:kern w:val="0"/>
                <w:sz w:val="24"/>
              </w:rPr>
              <w:t xml:space="preserve">0714-6248013 </w:t>
            </w:r>
            <w:r>
              <w:rPr>
                <w:rFonts w:eastAsia="仿宋_GB2312" w:hint="eastAsia"/>
                <w:kern w:val="0"/>
                <w:sz w:val="24"/>
              </w:rPr>
              <w:t>黄石市颐阳路</w:t>
            </w:r>
            <w:r>
              <w:rPr>
                <w:rFonts w:eastAsia="仿宋_GB2312"/>
                <w:kern w:val="0"/>
                <w:sz w:val="24"/>
              </w:rPr>
              <w:t>579</w:t>
            </w:r>
            <w:r>
              <w:rPr>
                <w:rFonts w:eastAsia="仿宋_GB2312" w:hint="eastAsia"/>
                <w:kern w:val="0"/>
                <w:sz w:val="24"/>
              </w:rPr>
              <w:t>号局监察室</w:t>
            </w:r>
          </w:p>
        </w:tc>
      </w:tr>
      <w:tr w:rsidR="00535B07">
        <w:trPr>
          <w:trHeight w:val="600"/>
        </w:trPr>
        <w:tc>
          <w:tcPr>
            <w:tcW w:w="1657" w:type="dxa"/>
            <w:vAlign w:val="center"/>
          </w:tcPr>
          <w:p w:rsidR="00535B07" w:rsidRDefault="00535B07">
            <w:pPr>
              <w:widowControl/>
              <w:jc w:val="center"/>
              <w:rPr>
                <w:rFonts w:eastAsia="黑体"/>
                <w:kern w:val="0"/>
                <w:sz w:val="24"/>
              </w:rPr>
            </w:pPr>
            <w:r>
              <w:rPr>
                <w:rFonts w:eastAsia="黑体" w:hint="eastAsia"/>
                <w:kern w:val="0"/>
                <w:sz w:val="24"/>
              </w:rPr>
              <w:t>审核意见</w:t>
            </w:r>
          </w:p>
        </w:tc>
        <w:tc>
          <w:tcPr>
            <w:tcW w:w="6865" w:type="dxa"/>
            <w:vAlign w:val="center"/>
          </w:tcPr>
          <w:p w:rsidR="00535B07" w:rsidRDefault="00535B07">
            <w:pPr>
              <w:widowControl/>
              <w:jc w:val="left"/>
              <w:rPr>
                <w:rFonts w:eastAsia="仿宋_GB2312"/>
                <w:kern w:val="0"/>
                <w:sz w:val="24"/>
              </w:rPr>
            </w:pPr>
            <w:r>
              <w:rPr>
                <w:rFonts w:eastAsia="仿宋_GB2312" w:hint="eastAsia"/>
                <w:kern w:val="0"/>
                <w:sz w:val="24"/>
              </w:rPr>
              <w:t>（由审改办统一填写）</w:t>
            </w:r>
          </w:p>
        </w:tc>
      </w:tr>
      <w:tr w:rsidR="00535B07">
        <w:trPr>
          <w:trHeight w:val="600"/>
        </w:trPr>
        <w:tc>
          <w:tcPr>
            <w:tcW w:w="1657" w:type="dxa"/>
            <w:vAlign w:val="center"/>
          </w:tcPr>
          <w:p w:rsidR="00535B07" w:rsidRDefault="00535B07">
            <w:pPr>
              <w:widowControl/>
              <w:jc w:val="center"/>
              <w:rPr>
                <w:rFonts w:eastAsia="黑体"/>
                <w:kern w:val="0"/>
                <w:sz w:val="24"/>
              </w:rPr>
            </w:pPr>
            <w:r>
              <w:rPr>
                <w:rFonts w:eastAsia="黑体" w:hint="eastAsia"/>
                <w:kern w:val="0"/>
                <w:sz w:val="24"/>
              </w:rPr>
              <w:t>备注</w:t>
            </w:r>
          </w:p>
        </w:tc>
        <w:tc>
          <w:tcPr>
            <w:tcW w:w="6865" w:type="dxa"/>
            <w:vAlign w:val="center"/>
          </w:tcPr>
          <w:p w:rsidR="00535B07" w:rsidRDefault="00535B07">
            <w:pPr>
              <w:widowControl/>
              <w:jc w:val="left"/>
              <w:rPr>
                <w:kern w:val="0"/>
                <w:sz w:val="24"/>
              </w:rPr>
            </w:pPr>
            <w:r>
              <w:rPr>
                <w:rFonts w:hAnsi="宋体" w:hint="eastAsia"/>
                <w:kern w:val="0"/>
                <w:sz w:val="24"/>
              </w:rPr>
              <w:t xml:space="preserve">　</w:t>
            </w:r>
          </w:p>
        </w:tc>
      </w:tr>
    </w:tbl>
    <w:p w:rsidR="00535B07" w:rsidRDefault="00535B07">
      <w:pPr>
        <w:spacing w:line="360" w:lineRule="exact"/>
        <w:rPr>
          <w:rFonts w:ascii="仿宋_GB2312" w:eastAsia="仿宋_GB2312" w:hAnsi="宋体" w:cs="宋体"/>
          <w:b/>
          <w:bCs/>
          <w:kern w:val="0"/>
          <w:sz w:val="30"/>
          <w:szCs w:val="30"/>
        </w:rPr>
      </w:pPr>
    </w:p>
    <w:p w:rsidR="00535B07" w:rsidRDefault="00535B07">
      <w:pPr>
        <w:spacing w:line="360" w:lineRule="exact"/>
        <w:rPr>
          <w:rFonts w:ascii="仿宋_GB2312" w:eastAsia="仿宋_GB2312" w:hAnsi="宋体" w:cs="宋体"/>
          <w:b/>
          <w:bCs/>
          <w:kern w:val="0"/>
          <w:sz w:val="30"/>
          <w:szCs w:val="30"/>
        </w:rPr>
      </w:pPr>
    </w:p>
    <w:p w:rsidR="00535B07" w:rsidRDefault="00535B07">
      <w:pPr>
        <w:spacing w:line="360" w:lineRule="exact"/>
        <w:rPr>
          <w:rFonts w:ascii="仿宋_GB2312" w:eastAsia="仿宋_GB2312" w:hAnsi="宋体" w:cs="宋体"/>
          <w:b/>
          <w:bCs/>
          <w:kern w:val="0"/>
          <w:sz w:val="30"/>
          <w:szCs w:val="30"/>
        </w:rPr>
      </w:pPr>
    </w:p>
    <w:p w:rsidR="00535B07" w:rsidRDefault="00535B07">
      <w:pPr>
        <w:spacing w:line="360" w:lineRule="exact"/>
        <w:rPr>
          <w:rFonts w:ascii="仿宋_GB2312" w:eastAsia="仿宋_GB2312" w:hAnsi="宋体" w:cs="宋体"/>
          <w:b/>
          <w:bCs/>
          <w:kern w:val="0"/>
          <w:sz w:val="30"/>
          <w:szCs w:val="30"/>
        </w:rPr>
      </w:pPr>
    </w:p>
    <w:p w:rsidR="00535B07" w:rsidRDefault="00535B07">
      <w:pPr>
        <w:spacing w:line="360" w:lineRule="exact"/>
        <w:rPr>
          <w:rFonts w:ascii="仿宋_GB2312" w:eastAsia="仿宋_GB2312" w:hAnsi="宋体" w:cs="宋体"/>
          <w:b/>
          <w:bCs/>
          <w:kern w:val="0"/>
          <w:sz w:val="30"/>
          <w:szCs w:val="30"/>
        </w:rPr>
      </w:pPr>
    </w:p>
    <w:p w:rsidR="00535B07" w:rsidRDefault="00535B07">
      <w:pPr>
        <w:spacing w:line="360" w:lineRule="exact"/>
        <w:rPr>
          <w:rFonts w:ascii="仿宋_GB2312" w:eastAsia="仿宋_GB2312" w:hAnsi="宋体" w:cs="宋体"/>
          <w:b/>
          <w:bCs/>
          <w:kern w:val="0"/>
          <w:sz w:val="30"/>
          <w:szCs w:val="30"/>
        </w:rPr>
      </w:pPr>
    </w:p>
    <w:p w:rsidR="00535B07" w:rsidRDefault="00535B07">
      <w:pPr>
        <w:spacing w:line="360" w:lineRule="exact"/>
        <w:rPr>
          <w:rFonts w:ascii="仿宋_GB2312" w:eastAsia="仿宋_GB2312" w:hAnsi="宋体" w:cs="宋体"/>
          <w:b/>
          <w:bCs/>
          <w:kern w:val="0"/>
          <w:sz w:val="30"/>
          <w:szCs w:val="30"/>
        </w:rPr>
      </w:pPr>
    </w:p>
    <w:p w:rsidR="00535B07" w:rsidRDefault="00535B07">
      <w:pPr>
        <w:spacing w:line="360" w:lineRule="exact"/>
        <w:jc w:val="center"/>
        <w:rPr>
          <w:rFonts w:ascii="仿宋_GB2312" w:eastAsia="仿宋_GB2312" w:hAnsi="宋体" w:cs="宋体"/>
          <w:b/>
          <w:bCs/>
          <w:kern w:val="0"/>
          <w:sz w:val="44"/>
          <w:szCs w:val="44"/>
        </w:rPr>
      </w:pPr>
    </w:p>
    <w:p w:rsidR="00535B07" w:rsidRDefault="00535B07">
      <w:pPr>
        <w:spacing w:line="360" w:lineRule="exact"/>
        <w:jc w:val="center"/>
        <w:rPr>
          <w:rFonts w:ascii="仿宋_GB2312" w:eastAsia="仿宋_GB2312" w:hAnsi="宋体" w:cs="宋体"/>
          <w:b/>
          <w:bCs/>
          <w:kern w:val="0"/>
          <w:sz w:val="36"/>
          <w:szCs w:val="36"/>
        </w:rPr>
      </w:pPr>
    </w:p>
    <w:p w:rsidR="00535B07" w:rsidRDefault="00535B07">
      <w:pPr>
        <w:spacing w:line="360" w:lineRule="exact"/>
        <w:jc w:val="center"/>
        <w:rPr>
          <w:sz w:val="36"/>
          <w:szCs w:val="36"/>
        </w:rPr>
      </w:pPr>
      <w:r>
        <w:rPr>
          <w:rFonts w:ascii="仿宋_GB2312" w:eastAsia="仿宋_GB2312" w:hAnsi="宋体" w:cs="宋体" w:hint="eastAsia"/>
          <w:b/>
          <w:bCs/>
          <w:kern w:val="0"/>
          <w:sz w:val="36"/>
          <w:szCs w:val="36"/>
        </w:rPr>
        <w:t>对未向原发证机关申请办理危险废物经营许可证变更手续的处</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10.05pt;margin-top:212.25pt;width:425.05pt;height:578.3pt;z-index:251658240;mso-position-horizontal-relative:text;mso-position-vertical-relative:page">
            <v:imagedata r:id="rId4" o:title=""/>
            <w10:wrap type="topAndBottom" anchory="page"/>
          </v:shape>
        </w:pict>
      </w:r>
      <w:r>
        <w:rPr>
          <w:rFonts w:ascii="仿宋_GB2312" w:eastAsia="仿宋_GB2312" w:hAnsi="宋体" w:cs="宋体" w:hint="eastAsia"/>
          <w:b/>
          <w:bCs/>
          <w:kern w:val="0"/>
          <w:sz w:val="36"/>
          <w:szCs w:val="36"/>
        </w:rPr>
        <w:t>罚</w:t>
      </w:r>
      <w:bookmarkStart w:id="0" w:name="_GoBack"/>
      <w:bookmarkEnd w:id="0"/>
    </w:p>
    <w:sectPr w:rsidR="00535B07" w:rsidSect="004F33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15DB"/>
    <w:rsid w:val="000032C8"/>
    <w:rsid w:val="00015EF2"/>
    <w:rsid w:val="00032895"/>
    <w:rsid w:val="000372D3"/>
    <w:rsid w:val="00054C80"/>
    <w:rsid w:val="000570D5"/>
    <w:rsid w:val="000605CE"/>
    <w:rsid w:val="00061E57"/>
    <w:rsid w:val="00072E5C"/>
    <w:rsid w:val="0007542A"/>
    <w:rsid w:val="00080617"/>
    <w:rsid w:val="00081F8A"/>
    <w:rsid w:val="000A0111"/>
    <w:rsid w:val="000C03A4"/>
    <w:rsid w:val="000D296E"/>
    <w:rsid w:val="000D6A08"/>
    <w:rsid w:val="000E4734"/>
    <w:rsid w:val="0010344F"/>
    <w:rsid w:val="00103560"/>
    <w:rsid w:val="00112ABB"/>
    <w:rsid w:val="001400EC"/>
    <w:rsid w:val="0017584C"/>
    <w:rsid w:val="001A20F6"/>
    <w:rsid w:val="001B783B"/>
    <w:rsid w:val="001D620D"/>
    <w:rsid w:val="00206CB7"/>
    <w:rsid w:val="002247EA"/>
    <w:rsid w:val="00254889"/>
    <w:rsid w:val="00276456"/>
    <w:rsid w:val="0028632B"/>
    <w:rsid w:val="002B0C2D"/>
    <w:rsid w:val="002C2EB3"/>
    <w:rsid w:val="002E21C0"/>
    <w:rsid w:val="00335146"/>
    <w:rsid w:val="003501C9"/>
    <w:rsid w:val="003612AF"/>
    <w:rsid w:val="003659DC"/>
    <w:rsid w:val="00385220"/>
    <w:rsid w:val="00385E7C"/>
    <w:rsid w:val="00390183"/>
    <w:rsid w:val="003A0200"/>
    <w:rsid w:val="003A6E4F"/>
    <w:rsid w:val="003B23C1"/>
    <w:rsid w:val="003B5BA9"/>
    <w:rsid w:val="003E6D90"/>
    <w:rsid w:val="003F1001"/>
    <w:rsid w:val="004153FB"/>
    <w:rsid w:val="004158C1"/>
    <w:rsid w:val="004265DB"/>
    <w:rsid w:val="004440D3"/>
    <w:rsid w:val="004553C4"/>
    <w:rsid w:val="00482E49"/>
    <w:rsid w:val="0049290D"/>
    <w:rsid w:val="004B57DC"/>
    <w:rsid w:val="004C5EBD"/>
    <w:rsid w:val="004E28D6"/>
    <w:rsid w:val="004F24FA"/>
    <w:rsid w:val="004F33CE"/>
    <w:rsid w:val="005000D5"/>
    <w:rsid w:val="00515542"/>
    <w:rsid w:val="00535B07"/>
    <w:rsid w:val="00547461"/>
    <w:rsid w:val="00554909"/>
    <w:rsid w:val="0055709B"/>
    <w:rsid w:val="005660C4"/>
    <w:rsid w:val="00567B3D"/>
    <w:rsid w:val="00570A16"/>
    <w:rsid w:val="005A182F"/>
    <w:rsid w:val="005A554C"/>
    <w:rsid w:val="005B205E"/>
    <w:rsid w:val="005D3D9A"/>
    <w:rsid w:val="005D7B58"/>
    <w:rsid w:val="005E6185"/>
    <w:rsid w:val="00636E0E"/>
    <w:rsid w:val="006A4114"/>
    <w:rsid w:val="006C0F49"/>
    <w:rsid w:val="006C37C0"/>
    <w:rsid w:val="006E1694"/>
    <w:rsid w:val="006F6BCD"/>
    <w:rsid w:val="00723E17"/>
    <w:rsid w:val="007248FF"/>
    <w:rsid w:val="00731587"/>
    <w:rsid w:val="00735F9C"/>
    <w:rsid w:val="00766359"/>
    <w:rsid w:val="00792592"/>
    <w:rsid w:val="00793183"/>
    <w:rsid w:val="007A2ABE"/>
    <w:rsid w:val="007B316C"/>
    <w:rsid w:val="007E081E"/>
    <w:rsid w:val="007E39E4"/>
    <w:rsid w:val="007F195D"/>
    <w:rsid w:val="007F6D3D"/>
    <w:rsid w:val="00804440"/>
    <w:rsid w:val="00820289"/>
    <w:rsid w:val="008230EF"/>
    <w:rsid w:val="00827F43"/>
    <w:rsid w:val="008348DD"/>
    <w:rsid w:val="00844AF1"/>
    <w:rsid w:val="00882EDC"/>
    <w:rsid w:val="008A5EEC"/>
    <w:rsid w:val="008B3AD2"/>
    <w:rsid w:val="008B3C0F"/>
    <w:rsid w:val="008C4B35"/>
    <w:rsid w:val="008E0ABE"/>
    <w:rsid w:val="00900B1D"/>
    <w:rsid w:val="00921A4C"/>
    <w:rsid w:val="00955A76"/>
    <w:rsid w:val="00966E50"/>
    <w:rsid w:val="0099075C"/>
    <w:rsid w:val="009A260C"/>
    <w:rsid w:val="009C42C7"/>
    <w:rsid w:val="009C5961"/>
    <w:rsid w:val="009D0D04"/>
    <w:rsid w:val="009D3700"/>
    <w:rsid w:val="00A3359A"/>
    <w:rsid w:val="00A429A6"/>
    <w:rsid w:val="00AB0723"/>
    <w:rsid w:val="00AE37AC"/>
    <w:rsid w:val="00AE5C1F"/>
    <w:rsid w:val="00AF11AD"/>
    <w:rsid w:val="00AF14BE"/>
    <w:rsid w:val="00B02B32"/>
    <w:rsid w:val="00B11340"/>
    <w:rsid w:val="00B15038"/>
    <w:rsid w:val="00B27727"/>
    <w:rsid w:val="00B3514D"/>
    <w:rsid w:val="00B470D8"/>
    <w:rsid w:val="00B7080D"/>
    <w:rsid w:val="00B70FD2"/>
    <w:rsid w:val="00B91FC1"/>
    <w:rsid w:val="00BC6CEB"/>
    <w:rsid w:val="00BF6F13"/>
    <w:rsid w:val="00C11406"/>
    <w:rsid w:val="00C35D52"/>
    <w:rsid w:val="00C37FE8"/>
    <w:rsid w:val="00C566A3"/>
    <w:rsid w:val="00C706C6"/>
    <w:rsid w:val="00C90E0B"/>
    <w:rsid w:val="00CB2E85"/>
    <w:rsid w:val="00CC19BF"/>
    <w:rsid w:val="00CD1CA6"/>
    <w:rsid w:val="00D17FC3"/>
    <w:rsid w:val="00D45CDA"/>
    <w:rsid w:val="00D8327F"/>
    <w:rsid w:val="00D8510C"/>
    <w:rsid w:val="00D94C21"/>
    <w:rsid w:val="00DA225A"/>
    <w:rsid w:val="00DD17E1"/>
    <w:rsid w:val="00DD289F"/>
    <w:rsid w:val="00E03889"/>
    <w:rsid w:val="00E06571"/>
    <w:rsid w:val="00E10204"/>
    <w:rsid w:val="00E234BE"/>
    <w:rsid w:val="00E5668D"/>
    <w:rsid w:val="00E56887"/>
    <w:rsid w:val="00E63477"/>
    <w:rsid w:val="00E67C90"/>
    <w:rsid w:val="00ED3C92"/>
    <w:rsid w:val="00ED4892"/>
    <w:rsid w:val="00EF6EF5"/>
    <w:rsid w:val="00F0399F"/>
    <w:rsid w:val="00F039F4"/>
    <w:rsid w:val="00F04882"/>
    <w:rsid w:val="00F16198"/>
    <w:rsid w:val="00F31F57"/>
    <w:rsid w:val="00F3214B"/>
    <w:rsid w:val="00F42597"/>
    <w:rsid w:val="00F53FE2"/>
    <w:rsid w:val="00F64460"/>
    <w:rsid w:val="00FC380A"/>
    <w:rsid w:val="00FC67DF"/>
    <w:rsid w:val="0B176621"/>
    <w:rsid w:val="0C6B61E5"/>
    <w:rsid w:val="0EA4600B"/>
    <w:rsid w:val="109655F3"/>
    <w:rsid w:val="19DF73B3"/>
    <w:rsid w:val="2F666419"/>
    <w:rsid w:val="3BB8571E"/>
    <w:rsid w:val="3FFE1800"/>
    <w:rsid w:val="400556BF"/>
    <w:rsid w:val="45216AE6"/>
    <w:rsid w:val="568D63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CE"/>
    <w:pPr>
      <w:widowControl w:val="0"/>
      <w:jc w:val="both"/>
    </w:pPr>
    <w:rPr>
      <w:rFonts w:ascii="Times New Roman" w:hAnsi="Times New Roman"/>
      <w:szCs w:val="20"/>
    </w:rPr>
  </w:style>
  <w:style w:type="paragraph" w:styleId="Heading2">
    <w:name w:val="heading 2"/>
    <w:basedOn w:val="Normal"/>
    <w:next w:val="Normal"/>
    <w:link w:val="Heading2Char"/>
    <w:uiPriority w:val="99"/>
    <w:qFormat/>
    <w:locked/>
    <w:rsid w:val="004F33CE"/>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F33CE"/>
    <w:rPr>
      <w:rFonts w:ascii="Cambria" w:eastAsia="宋体" w:hAnsi="Cambria" w:cs="Times New Roman"/>
      <w:b/>
      <w:bCs/>
      <w:sz w:val="32"/>
      <w:szCs w:val="32"/>
    </w:rPr>
  </w:style>
  <w:style w:type="paragraph" w:styleId="Footer">
    <w:name w:val="footer"/>
    <w:basedOn w:val="Normal"/>
    <w:link w:val="FooterChar"/>
    <w:uiPriority w:val="99"/>
    <w:rsid w:val="004F33C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4F33CE"/>
    <w:rPr>
      <w:rFonts w:cs="Times New Roman"/>
      <w:sz w:val="18"/>
      <w:szCs w:val="18"/>
    </w:rPr>
  </w:style>
  <w:style w:type="paragraph" w:styleId="Header">
    <w:name w:val="header"/>
    <w:basedOn w:val="Normal"/>
    <w:link w:val="HeaderChar"/>
    <w:uiPriority w:val="99"/>
    <w:rsid w:val="004F33C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4F33CE"/>
    <w:rPr>
      <w:rFonts w:cs="Times New Roman"/>
      <w:sz w:val="18"/>
      <w:szCs w:val="18"/>
    </w:rPr>
  </w:style>
  <w:style w:type="paragraph" w:customStyle="1" w:styleId="Char1">
    <w:name w:val="Char1"/>
    <w:basedOn w:val="Normal"/>
    <w:uiPriority w:val="99"/>
    <w:rsid w:val="004F33CE"/>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264</Words>
  <Characters>1506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11</cp:revision>
  <dcterms:created xsi:type="dcterms:W3CDTF">2016-02-16T03:01:00Z</dcterms:created>
  <dcterms:modified xsi:type="dcterms:W3CDTF">2016-06-27T08:20:00Z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