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A0085" w:rsidRDefault="00356E49">
      <w:pPr>
        <w:spacing w:line="480" w:lineRule="exact"/>
        <w:jc w:val="center"/>
        <w:rPr>
          <w:rFonts w:ascii="方正小标宋_GBK" w:eastAsia="方正小标宋_GBK" w:hAnsi="仿宋_GB2312" w:cs="仿宋_GB2312"/>
          <w:sz w:val="36"/>
          <w:szCs w:val="36"/>
        </w:rPr>
      </w:pPr>
      <w:r>
        <w:rPr>
          <w:rFonts w:ascii="方正小标宋_GBK" w:eastAsia="方正小标宋_GBK" w:hAnsi="仿宋_GB2312" w:cs="仿宋_GB2312" w:hint="eastAsia"/>
          <w:sz w:val="36"/>
          <w:szCs w:val="36"/>
        </w:rPr>
        <w:t>行政职权基本信息表</w:t>
      </w:r>
    </w:p>
    <w:p w:rsidR="006A0085" w:rsidRDefault="00356E49">
      <w:pPr>
        <w:spacing w:line="520" w:lineRule="exact"/>
        <w:jc w:val="center"/>
        <w:rPr>
          <w:rFonts w:ascii="仿宋_GB2312" w:eastAsia="仿宋_GB2312" w:hAnsi="仿宋_GB2312" w:cs="仿宋_GB2312"/>
          <w:sz w:val="32"/>
          <w:szCs w:val="32"/>
        </w:rPr>
      </w:pPr>
      <w:r>
        <w:rPr>
          <w:rFonts w:ascii="方正小标宋_GBK" w:eastAsia="方正小标宋_GBK" w:hAnsi="仿宋_GB2312" w:cs="仿宋_GB2312" w:hint="eastAsia"/>
          <w:sz w:val="36"/>
          <w:szCs w:val="36"/>
        </w:rPr>
        <w:t>（行政强制）</w:t>
      </w:r>
    </w:p>
    <w:p w:rsidR="006A0085" w:rsidRDefault="00356E49">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填报单位：</w:t>
      </w:r>
      <w:r w:rsidR="0052774D">
        <w:rPr>
          <w:rFonts w:ascii="仿宋_GB2312" w:eastAsia="仿宋_GB2312" w:hAnsi="仿宋_GB2312" w:cs="仿宋_GB2312" w:hint="eastAsia"/>
          <w:sz w:val="32"/>
          <w:szCs w:val="32"/>
        </w:rPr>
        <w:t>西塞山区</w:t>
      </w:r>
      <w:r>
        <w:rPr>
          <w:rFonts w:ascii="仿宋_GB2312" w:eastAsia="仿宋_GB2312" w:hAnsi="仿宋_GB2312" w:cs="仿宋_GB2312" w:hint="eastAsia"/>
          <w:sz w:val="32"/>
          <w:szCs w:val="32"/>
        </w:rPr>
        <w:t>食品药品监督管理局</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7"/>
        <w:gridCol w:w="238"/>
        <w:gridCol w:w="6627"/>
        <w:gridCol w:w="46"/>
      </w:tblGrid>
      <w:tr w:rsidR="006A0085" w:rsidTr="0052774D">
        <w:trPr>
          <w:trHeight w:val="567"/>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职权编码</w:t>
            </w:r>
          </w:p>
        </w:tc>
        <w:tc>
          <w:tcPr>
            <w:tcW w:w="6673" w:type="dxa"/>
            <w:gridSpan w:val="2"/>
            <w:vAlign w:val="center"/>
          </w:tcPr>
          <w:p w:rsidR="006A0085" w:rsidRPr="009A5F03" w:rsidRDefault="00796F41" w:rsidP="00A95FFD">
            <w:pPr>
              <w:widowControl/>
              <w:jc w:val="left"/>
              <w:rPr>
                <w:rFonts w:ascii="仿宋_GB2312" w:eastAsia="仿宋_GB2312" w:hAnsi="仿宋" w:cs="仿宋"/>
                <w:kern w:val="0"/>
                <w:sz w:val="24"/>
              </w:rPr>
            </w:pPr>
            <w:r w:rsidRPr="009A5F03">
              <w:rPr>
                <w:rFonts w:ascii="仿宋_GB2312" w:eastAsia="仿宋_GB2312" w:hAnsi="仿宋" w:cs="仿宋_GB2312" w:hint="eastAsia"/>
                <w:sz w:val="24"/>
              </w:rPr>
              <w:t>09324612-1</w:t>
            </w:r>
            <w:r w:rsidR="00356E49" w:rsidRPr="009A5F03">
              <w:rPr>
                <w:rFonts w:ascii="仿宋_GB2312" w:eastAsia="仿宋_GB2312" w:hAnsi="仿宋" w:cs="仿宋" w:hint="eastAsia"/>
                <w:kern w:val="0"/>
                <w:sz w:val="24"/>
              </w:rPr>
              <w:t>-QZ-</w:t>
            </w:r>
            <w:r w:rsidR="00B20CCE" w:rsidRPr="009A5F03">
              <w:rPr>
                <w:rFonts w:ascii="仿宋_GB2312" w:eastAsia="仿宋_GB2312" w:hAnsi="仿宋" w:cs="仿宋" w:hint="eastAsia"/>
                <w:kern w:val="0"/>
                <w:sz w:val="24"/>
              </w:rPr>
              <w:t>0</w:t>
            </w:r>
            <w:r w:rsidR="00A95FFD">
              <w:rPr>
                <w:rFonts w:ascii="仿宋_GB2312" w:eastAsia="仿宋_GB2312" w:hAnsi="仿宋" w:cs="仿宋" w:hint="eastAsia"/>
                <w:kern w:val="0"/>
                <w:sz w:val="24"/>
              </w:rPr>
              <w:t>32</w:t>
            </w:r>
            <w:bookmarkStart w:id="0" w:name="_GoBack"/>
            <w:bookmarkEnd w:id="0"/>
            <w:r w:rsidR="00356E49" w:rsidRPr="009A5F03">
              <w:rPr>
                <w:rFonts w:ascii="仿宋_GB2312" w:eastAsia="仿宋_GB2312" w:hAnsi="仿宋" w:cs="仿宋" w:hint="eastAsia"/>
                <w:kern w:val="0"/>
                <w:sz w:val="24"/>
              </w:rPr>
              <w:t>-00</w:t>
            </w:r>
          </w:p>
        </w:tc>
      </w:tr>
      <w:tr w:rsidR="006A0085" w:rsidTr="0052774D">
        <w:trPr>
          <w:trHeight w:val="567"/>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职权名称</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对食品生产经营者未按规定召回或停止经营不符合食品安全标准食品的责令其召回或停止经营</w:t>
            </w:r>
          </w:p>
        </w:tc>
      </w:tr>
      <w:tr w:rsidR="006A0085" w:rsidTr="0052774D">
        <w:trPr>
          <w:trHeight w:val="567"/>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子项名称</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无</w:t>
            </w:r>
          </w:p>
        </w:tc>
      </w:tr>
      <w:tr w:rsidR="006A0085" w:rsidTr="0052774D">
        <w:trPr>
          <w:trHeight w:val="567"/>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行使主体</w:t>
            </w:r>
          </w:p>
        </w:tc>
        <w:tc>
          <w:tcPr>
            <w:tcW w:w="6673" w:type="dxa"/>
            <w:gridSpan w:val="2"/>
            <w:vAlign w:val="center"/>
          </w:tcPr>
          <w:p w:rsidR="006A0085" w:rsidRPr="009A5F03" w:rsidRDefault="0052774D">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西塞山区</w:t>
            </w:r>
            <w:r w:rsidR="00356E49" w:rsidRPr="009A5F03">
              <w:rPr>
                <w:rFonts w:ascii="仿宋_GB2312" w:eastAsia="仿宋_GB2312" w:hAnsi="仿宋" w:cs="仿宋" w:hint="eastAsia"/>
                <w:kern w:val="0"/>
                <w:sz w:val="24"/>
              </w:rPr>
              <w:t>食品药品监督管理局</w:t>
            </w:r>
          </w:p>
        </w:tc>
      </w:tr>
      <w:tr w:rsidR="006A0085" w:rsidTr="003F3587">
        <w:trPr>
          <w:trHeight w:val="1775"/>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职权依据</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【法律】《中华人民共和国食品安全法》（2015年4月24日修订） 第六十三条第五款　食品生产经营者未依照本条规定召回或者停止经营的，县级以上人民政府食品药品监督管理部门可以责令其召回或者停止经营。</w:t>
            </w:r>
          </w:p>
        </w:tc>
      </w:tr>
      <w:tr w:rsidR="006A0085" w:rsidTr="0052774D">
        <w:trPr>
          <w:trHeight w:val="567"/>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强制种类或方式</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行政强制执行</w:t>
            </w:r>
          </w:p>
        </w:tc>
      </w:tr>
      <w:tr w:rsidR="006A0085" w:rsidTr="0052774D">
        <w:trPr>
          <w:trHeight w:val="552"/>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强制条件</w:t>
            </w:r>
          </w:p>
        </w:tc>
        <w:tc>
          <w:tcPr>
            <w:tcW w:w="6673" w:type="dxa"/>
            <w:gridSpan w:val="2"/>
            <w:vAlign w:val="center"/>
          </w:tcPr>
          <w:p w:rsidR="006A0085" w:rsidRPr="009A5F03" w:rsidRDefault="00356E49">
            <w:pPr>
              <w:widowControl/>
              <w:jc w:val="left"/>
              <w:textAlignment w:val="center"/>
              <w:rPr>
                <w:rFonts w:ascii="仿宋_GB2312" w:eastAsia="仿宋_GB2312" w:hAnsi="仿宋" w:cs="仿宋"/>
                <w:kern w:val="0"/>
                <w:sz w:val="24"/>
              </w:rPr>
            </w:pPr>
            <w:r w:rsidRPr="009A5F03">
              <w:rPr>
                <w:rFonts w:ascii="仿宋_GB2312" w:eastAsia="仿宋_GB2312" w:hAnsi="仿宋" w:cs="仿宋" w:hint="eastAsia"/>
                <w:kern w:val="0"/>
                <w:sz w:val="24"/>
              </w:rPr>
              <w:t>食品生产经营者经营不符合食品安全标准的食品</w:t>
            </w:r>
          </w:p>
        </w:tc>
      </w:tr>
      <w:tr w:rsidR="006A0085" w:rsidTr="0052774D">
        <w:trPr>
          <w:trHeight w:val="554"/>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职权运行流程</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分管负责人批准→告知→听取陈述申辩→送达查封、扣押决定书→执行</w:t>
            </w:r>
          </w:p>
        </w:tc>
      </w:tr>
      <w:tr w:rsidR="006A0085" w:rsidTr="0052774D">
        <w:trPr>
          <w:trHeight w:val="2982"/>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责任事项</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1.批准责任：实施责令召回措施，应经分管负责人批准。 2.通知责任：通知相关食品生产经营者停止生产经营或者召回，采取相关措施消除食品安全风险； 3.调查分析或评价：发现食品生产经营者生产经营的食品可能属于不安全食品的，可以开展调查分析或对食品生产经营者提交的不安全食品停止生产经营、召回和处置报告进行评价。 4.责令召回责任：发现不安全食品的，应当通知相关食品生产经营者停止生产经营或者召回，采取相关措施消除食品安全风险。 5.记录信用档案责任：将不安全食品停止生产经营、召回和处置情况记入食品生产经营者信用档案。 6.监管责任：对食品生产经营者未按规定召回或停止经营不符合食品安全标准食品的责令其召回或停止经营的情况进行监督检查； 7.其他法律法规规章文件规定应履行的其他责任。</w:t>
            </w:r>
          </w:p>
        </w:tc>
      </w:tr>
      <w:tr w:rsidR="006A0085" w:rsidTr="0052774D">
        <w:trPr>
          <w:trHeight w:val="5539"/>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lastRenderedPageBreak/>
              <w:t>责任事项依据</w:t>
            </w:r>
          </w:p>
        </w:tc>
        <w:tc>
          <w:tcPr>
            <w:tcW w:w="6673" w:type="dxa"/>
            <w:gridSpan w:val="2"/>
            <w:vAlign w:val="center"/>
          </w:tcPr>
          <w:p w:rsidR="006A0085" w:rsidRPr="009A5F03" w:rsidRDefault="00356E49">
            <w:pPr>
              <w:widowControl/>
              <w:spacing w:line="270" w:lineRule="exact"/>
              <w:jc w:val="left"/>
              <w:rPr>
                <w:rFonts w:ascii="仿宋_GB2312" w:eastAsia="仿宋_GB2312" w:hAnsi="仿宋" w:cs="仿宋"/>
                <w:kern w:val="0"/>
                <w:sz w:val="24"/>
              </w:rPr>
            </w:pPr>
            <w:r w:rsidRPr="009A5F03">
              <w:rPr>
                <w:rFonts w:ascii="仿宋_GB2312" w:eastAsia="仿宋_GB2312" w:hAnsi="仿宋" w:cs="仿宋" w:hint="eastAsia"/>
                <w:kern w:val="0"/>
                <w:sz w:val="24"/>
              </w:rPr>
              <w:t>1.《中华人民共和国行政强制法》（2011年6月30日通过） 第十八条　行政机关实施行政强制措施应当遵守下列规定：（一）实施前须向行政机关负责人报告并经批准； 2-1.《中华人民共和国行政强制法》（2011年6月30日通过） 第十八条　行政机关实施行政强制措施应当遵守下列规定：（二）由两名以上行政执法人员实施；（三）出示执法身份证件；（四）通知当事人到场；（五）当场告知当事人采取行政强制措施的理由、依据以及当事人依法享有的权利、救济途径； 2-2.《食品召回管理办法》（2015国家食品药品监督管理总局</w:t>
            </w:r>
            <w:proofErr w:type="gramStart"/>
            <w:r w:rsidRPr="009A5F03">
              <w:rPr>
                <w:rFonts w:ascii="仿宋_GB2312" w:eastAsia="仿宋_GB2312" w:hAnsi="仿宋" w:cs="仿宋" w:hint="eastAsia"/>
                <w:kern w:val="0"/>
                <w:sz w:val="24"/>
              </w:rPr>
              <w:t>局</w:t>
            </w:r>
            <w:proofErr w:type="gramEnd"/>
            <w:r w:rsidRPr="009A5F03">
              <w:rPr>
                <w:rFonts w:ascii="仿宋_GB2312" w:eastAsia="仿宋_GB2312" w:hAnsi="仿宋" w:cs="仿宋" w:hint="eastAsia"/>
                <w:kern w:val="0"/>
                <w:sz w:val="24"/>
              </w:rPr>
              <w:t>令第12号）第二十九条　县级以上地方食品药品监督管理部门发现不安全食品的，应当通知相关食品生产经营者停止生产经营或者召回，采取相关措施消除食品安全风险。 3.《食品召回管理办法》（2015国家食品药品监督管理总局</w:t>
            </w:r>
            <w:proofErr w:type="gramStart"/>
            <w:r w:rsidRPr="009A5F03">
              <w:rPr>
                <w:rFonts w:ascii="仿宋_GB2312" w:eastAsia="仿宋_GB2312" w:hAnsi="仿宋" w:cs="仿宋" w:hint="eastAsia"/>
                <w:kern w:val="0"/>
                <w:sz w:val="24"/>
              </w:rPr>
              <w:t>局</w:t>
            </w:r>
            <w:proofErr w:type="gramEnd"/>
            <w:r w:rsidRPr="009A5F03">
              <w:rPr>
                <w:rFonts w:ascii="仿宋_GB2312" w:eastAsia="仿宋_GB2312" w:hAnsi="仿宋" w:cs="仿宋" w:hint="eastAsia"/>
                <w:kern w:val="0"/>
                <w:sz w:val="24"/>
              </w:rPr>
              <w:t>令第12号） 第三十条　县级以上地方食品药品监督管理部门发现食品生产经营者生产经营的食品可能属于不安全食品的，可以开展调查分析，相关食品生产经营者应当积极协助。 第三十四条　县级以上地方食品药品监督管理部门可以对食品生产经营者提交的不安全食品停止生产经营、召回和处置报告进行评价。 评价结论认为食品生产经营者采取的措施不足以控制食品安全风险的，县级以上地方食品药品监督管理部门应当责令食品生产经营者采取更为有效的措施停止生产经营、召回和处置不安全食品。 4.上同2-2 5.《食品召回管理办法》（2015国家食品药品监督管理总局</w:t>
            </w:r>
            <w:proofErr w:type="gramStart"/>
            <w:r w:rsidRPr="009A5F03">
              <w:rPr>
                <w:rFonts w:ascii="仿宋_GB2312" w:eastAsia="仿宋_GB2312" w:hAnsi="仿宋" w:cs="仿宋" w:hint="eastAsia"/>
                <w:kern w:val="0"/>
                <w:sz w:val="24"/>
              </w:rPr>
              <w:t>局</w:t>
            </w:r>
            <w:proofErr w:type="gramEnd"/>
            <w:r w:rsidRPr="009A5F03">
              <w:rPr>
                <w:rFonts w:ascii="仿宋_GB2312" w:eastAsia="仿宋_GB2312" w:hAnsi="仿宋" w:cs="仿宋" w:hint="eastAsia"/>
                <w:kern w:val="0"/>
                <w:sz w:val="24"/>
              </w:rPr>
              <w:t>令第12号）第三十六条　县级以上地方食品药品监督管理部门将不安全食品停止生产经营、召回和处置情况记入食品生产经营者信用档案。 6.《食品召回管理办法》（2015国家食品药品监督管理总局</w:t>
            </w:r>
            <w:proofErr w:type="gramStart"/>
            <w:r w:rsidRPr="009A5F03">
              <w:rPr>
                <w:rFonts w:ascii="仿宋_GB2312" w:eastAsia="仿宋_GB2312" w:hAnsi="仿宋" w:cs="仿宋" w:hint="eastAsia"/>
                <w:kern w:val="0"/>
                <w:sz w:val="24"/>
              </w:rPr>
              <w:t>局</w:t>
            </w:r>
            <w:proofErr w:type="gramEnd"/>
            <w:r w:rsidRPr="009A5F03">
              <w:rPr>
                <w:rFonts w:ascii="仿宋_GB2312" w:eastAsia="仿宋_GB2312" w:hAnsi="仿宋" w:cs="仿宋" w:hint="eastAsia"/>
                <w:kern w:val="0"/>
                <w:sz w:val="24"/>
              </w:rPr>
              <w:t>令第12号）第四十四条　县级以上地方食品药品监督管理部门不依法履行本办法规定的职责，造成不良后果的，依照《中华人民共和国食品安全法》的有关规定，对直接负责的主管人员和其他直接责任人员给予行政处分。</w:t>
            </w:r>
          </w:p>
        </w:tc>
      </w:tr>
      <w:tr w:rsidR="006A0085" w:rsidTr="0052774D">
        <w:trPr>
          <w:trHeight w:val="3060"/>
        </w:trPr>
        <w:tc>
          <w:tcPr>
            <w:tcW w:w="1895" w:type="dxa"/>
            <w:gridSpan w:val="2"/>
            <w:vAlign w:val="center"/>
          </w:tcPr>
          <w:p w:rsidR="006A0085" w:rsidRPr="00BF0758" w:rsidRDefault="00356E49">
            <w:pPr>
              <w:widowControl/>
              <w:jc w:val="center"/>
              <w:rPr>
                <w:rFonts w:ascii="黑体" w:eastAsia="黑体" w:hAnsi="宋体" w:cs="宋体"/>
                <w:kern w:val="0"/>
                <w:sz w:val="24"/>
              </w:rPr>
            </w:pPr>
            <w:r w:rsidRPr="00BF0758">
              <w:rPr>
                <w:rFonts w:ascii="黑体" w:eastAsia="黑体" w:hAnsi="宋体" w:cs="宋体" w:hint="eastAsia"/>
                <w:kern w:val="0"/>
                <w:sz w:val="24"/>
              </w:rPr>
              <w:t>职责边界</w:t>
            </w:r>
          </w:p>
        </w:tc>
        <w:tc>
          <w:tcPr>
            <w:tcW w:w="6673" w:type="dxa"/>
            <w:gridSpan w:val="2"/>
            <w:vAlign w:val="center"/>
          </w:tcPr>
          <w:p w:rsidR="006A0085" w:rsidRPr="009A5F03" w:rsidRDefault="00356E49">
            <w:pPr>
              <w:widowControl/>
              <w:jc w:val="left"/>
              <w:rPr>
                <w:rFonts w:ascii="仿宋_GB2312" w:eastAsia="仿宋_GB2312" w:hAnsi="仿宋" w:cs="仿宋"/>
                <w:kern w:val="0"/>
                <w:sz w:val="24"/>
              </w:rPr>
            </w:pPr>
            <w:r w:rsidRPr="009A5F03">
              <w:rPr>
                <w:rFonts w:ascii="仿宋_GB2312" w:eastAsia="仿宋_GB2312" w:hAnsi="仿宋" w:cs="仿宋" w:hint="eastAsia"/>
                <w:kern w:val="0"/>
                <w:sz w:val="24"/>
              </w:rPr>
              <w:t>一、责任分工 1.层级之间：按照法律法规规章有关规定实行属地管理 2.部门之间：无 二、相关依据 1.《中华人民共和国食品安全法》（2015年4月24日修订） 第六十三条第五款　食品生产经营者未依照本条规定召回或者停止经营的，县级以上人民政府食品药品监督管理部门可以责令其召回或者停止经营。 2.《食品召回管理办法》（2015国家食品药品监督管理总局</w:t>
            </w:r>
            <w:proofErr w:type="gramStart"/>
            <w:r w:rsidRPr="009A5F03">
              <w:rPr>
                <w:rFonts w:ascii="仿宋_GB2312" w:eastAsia="仿宋_GB2312" w:hAnsi="仿宋" w:cs="仿宋" w:hint="eastAsia"/>
                <w:kern w:val="0"/>
                <w:sz w:val="24"/>
              </w:rPr>
              <w:t>局</w:t>
            </w:r>
            <w:proofErr w:type="gramEnd"/>
            <w:r w:rsidRPr="009A5F03">
              <w:rPr>
                <w:rFonts w:ascii="仿宋_GB2312" w:eastAsia="仿宋_GB2312" w:hAnsi="仿宋" w:cs="仿宋" w:hint="eastAsia"/>
                <w:kern w:val="0"/>
                <w:sz w:val="24"/>
              </w:rPr>
              <w:t>令第12号）第四条　国家食品药品监督管理总局负责指导全国不安全食品停止生产经营、召回和处置的监督管理工作。 县级以上地方食品药品监督管理部门负责本行政区域的不安全食品停止生产经营、召回和处置的监督管理工作。</w:t>
            </w:r>
          </w:p>
        </w:tc>
      </w:tr>
      <w:tr w:rsidR="0052774D" w:rsidRPr="009A5F03" w:rsidTr="003F3587">
        <w:trPr>
          <w:gridAfter w:val="1"/>
          <w:wAfter w:w="46" w:type="dxa"/>
          <w:trHeight w:val="377"/>
        </w:trPr>
        <w:tc>
          <w:tcPr>
            <w:tcW w:w="1657" w:type="dxa"/>
            <w:vAlign w:val="center"/>
          </w:tcPr>
          <w:p w:rsidR="0052774D" w:rsidRPr="00BF0758" w:rsidRDefault="0052774D" w:rsidP="00E66255">
            <w:pPr>
              <w:widowControl/>
              <w:jc w:val="center"/>
              <w:rPr>
                <w:rFonts w:ascii="黑体" w:eastAsia="黑体" w:hAnsi="黑体"/>
                <w:kern w:val="0"/>
                <w:sz w:val="24"/>
              </w:rPr>
            </w:pPr>
            <w:r w:rsidRPr="00BF0758">
              <w:rPr>
                <w:rFonts w:ascii="黑体" w:eastAsia="黑体" w:hAnsi="黑体" w:hint="eastAsia"/>
                <w:kern w:val="0"/>
                <w:sz w:val="24"/>
              </w:rPr>
              <w:t>承办机构</w:t>
            </w:r>
          </w:p>
        </w:tc>
        <w:tc>
          <w:tcPr>
            <w:tcW w:w="6865" w:type="dxa"/>
            <w:gridSpan w:val="2"/>
            <w:vAlign w:val="center"/>
          </w:tcPr>
          <w:p w:rsidR="0052774D" w:rsidRPr="009A5F03" w:rsidRDefault="0052774D" w:rsidP="00E66255">
            <w:pPr>
              <w:widowControl/>
              <w:jc w:val="left"/>
              <w:rPr>
                <w:rFonts w:ascii="仿宋_GB2312" w:eastAsia="仿宋_GB2312" w:hAnsi="仿宋"/>
                <w:kern w:val="0"/>
                <w:sz w:val="24"/>
              </w:rPr>
            </w:pPr>
            <w:r w:rsidRPr="009A5F03">
              <w:rPr>
                <w:rFonts w:ascii="仿宋_GB2312" w:eastAsia="仿宋_GB2312" w:hAnsi="仿宋" w:hint="eastAsia"/>
                <w:kern w:val="0"/>
                <w:sz w:val="24"/>
              </w:rPr>
              <w:t>西塞山区食品药品监督管理局</w:t>
            </w:r>
          </w:p>
        </w:tc>
      </w:tr>
      <w:tr w:rsidR="0052774D" w:rsidRPr="009A5F03" w:rsidTr="003F3587">
        <w:trPr>
          <w:gridAfter w:val="1"/>
          <w:wAfter w:w="46" w:type="dxa"/>
          <w:trHeight w:val="471"/>
        </w:trPr>
        <w:tc>
          <w:tcPr>
            <w:tcW w:w="1657" w:type="dxa"/>
            <w:vAlign w:val="center"/>
          </w:tcPr>
          <w:p w:rsidR="0052774D" w:rsidRPr="00BF0758" w:rsidRDefault="0052774D" w:rsidP="00E66255">
            <w:pPr>
              <w:widowControl/>
              <w:jc w:val="center"/>
              <w:rPr>
                <w:rFonts w:ascii="黑体" w:eastAsia="黑体" w:hAnsi="黑体"/>
                <w:kern w:val="0"/>
                <w:sz w:val="24"/>
              </w:rPr>
            </w:pPr>
            <w:r w:rsidRPr="00BF0758">
              <w:rPr>
                <w:rFonts w:ascii="黑体" w:eastAsia="黑体" w:hAnsi="黑体" w:hint="eastAsia"/>
                <w:kern w:val="0"/>
                <w:sz w:val="24"/>
              </w:rPr>
              <w:t>咨询方式</w:t>
            </w:r>
          </w:p>
        </w:tc>
        <w:tc>
          <w:tcPr>
            <w:tcW w:w="6865" w:type="dxa"/>
            <w:gridSpan w:val="2"/>
            <w:vAlign w:val="center"/>
          </w:tcPr>
          <w:p w:rsidR="0052774D" w:rsidRPr="009A5F03" w:rsidRDefault="0052774D" w:rsidP="00E66255">
            <w:pPr>
              <w:widowControl/>
              <w:jc w:val="left"/>
              <w:rPr>
                <w:rFonts w:ascii="仿宋_GB2312" w:eastAsia="仿宋_GB2312" w:hAnsi="仿宋"/>
                <w:kern w:val="0"/>
                <w:sz w:val="24"/>
              </w:rPr>
            </w:pPr>
            <w:r w:rsidRPr="009A5F03">
              <w:rPr>
                <w:rFonts w:ascii="仿宋_GB2312" w:eastAsia="仿宋_GB2312" w:hAnsi="仿宋" w:hint="eastAsia"/>
                <w:kern w:val="0"/>
                <w:sz w:val="24"/>
              </w:rPr>
              <w:t>0714-3295677、西塞山区食品药品监督管理局综合办</w:t>
            </w:r>
          </w:p>
        </w:tc>
      </w:tr>
      <w:tr w:rsidR="0052774D" w:rsidRPr="009A5F03" w:rsidTr="003F3587">
        <w:trPr>
          <w:gridAfter w:val="1"/>
          <w:wAfter w:w="46" w:type="dxa"/>
          <w:trHeight w:val="423"/>
        </w:trPr>
        <w:tc>
          <w:tcPr>
            <w:tcW w:w="1657" w:type="dxa"/>
            <w:vAlign w:val="center"/>
          </w:tcPr>
          <w:p w:rsidR="0052774D" w:rsidRPr="00BF0758" w:rsidRDefault="0052774D" w:rsidP="00E66255">
            <w:pPr>
              <w:widowControl/>
              <w:jc w:val="center"/>
              <w:rPr>
                <w:rFonts w:ascii="黑体" w:eastAsia="黑体" w:hAnsi="黑体"/>
                <w:kern w:val="0"/>
                <w:sz w:val="24"/>
              </w:rPr>
            </w:pPr>
            <w:r w:rsidRPr="00BF0758">
              <w:rPr>
                <w:rFonts w:ascii="黑体" w:eastAsia="黑体" w:hAnsi="黑体" w:hint="eastAsia"/>
                <w:kern w:val="0"/>
                <w:sz w:val="24"/>
              </w:rPr>
              <w:t>监督投诉方式</w:t>
            </w:r>
          </w:p>
        </w:tc>
        <w:tc>
          <w:tcPr>
            <w:tcW w:w="6865" w:type="dxa"/>
            <w:gridSpan w:val="2"/>
            <w:vAlign w:val="center"/>
          </w:tcPr>
          <w:p w:rsidR="0052774D" w:rsidRPr="009A5F03" w:rsidRDefault="0052774D" w:rsidP="00E66255">
            <w:pPr>
              <w:widowControl/>
              <w:jc w:val="left"/>
              <w:rPr>
                <w:rFonts w:ascii="仿宋_GB2312" w:eastAsia="仿宋_GB2312" w:hAnsi="仿宋" w:cs="宋体"/>
                <w:kern w:val="0"/>
                <w:sz w:val="24"/>
              </w:rPr>
            </w:pPr>
            <w:r w:rsidRPr="009A5F03">
              <w:rPr>
                <w:rFonts w:ascii="仿宋_GB2312" w:eastAsia="仿宋_GB2312" w:hAnsi="仿宋" w:cs="宋体" w:hint="eastAsia"/>
                <w:kern w:val="0"/>
                <w:sz w:val="24"/>
              </w:rPr>
              <w:t>0714-3295677、西塞山区食品药品监督管理局综合办</w:t>
            </w:r>
          </w:p>
        </w:tc>
      </w:tr>
      <w:tr w:rsidR="0052774D" w:rsidRPr="00B17693" w:rsidTr="003F3587">
        <w:trPr>
          <w:gridAfter w:val="1"/>
          <w:wAfter w:w="46" w:type="dxa"/>
          <w:trHeight w:val="495"/>
        </w:trPr>
        <w:tc>
          <w:tcPr>
            <w:tcW w:w="1657" w:type="dxa"/>
            <w:vAlign w:val="center"/>
          </w:tcPr>
          <w:p w:rsidR="0052774D" w:rsidRPr="00BF0758" w:rsidRDefault="0052774D" w:rsidP="00E66255">
            <w:pPr>
              <w:widowControl/>
              <w:jc w:val="center"/>
              <w:rPr>
                <w:rFonts w:ascii="黑体" w:eastAsia="黑体" w:hAnsi="黑体"/>
                <w:kern w:val="0"/>
                <w:sz w:val="24"/>
              </w:rPr>
            </w:pPr>
            <w:r w:rsidRPr="00BF0758">
              <w:rPr>
                <w:rFonts w:ascii="黑体" w:eastAsia="黑体" w:hAnsi="黑体"/>
                <w:kern w:val="0"/>
                <w:sz w:val="24"/>
              </w:rPr>
              <w:t>审核意见</w:t>
            </w:r>
          </w:p>
        </w:tc>
        <w:tc>
          <w:tcPr>
            <w:tcW w:w="6865" w:type="dxa"/>
            <w:gridSpan w:val="2"/>
            <w:vAlign w:val="center"/>
          </w:tcPr>
          <w:p w:rsidR="0052774D" w:rsidRPr="009A5F03" w:rsidRDefault="0052774D" w:rsidP="00E66255">
            <w:pPr>
              <w:widowControl/>
              <w:jc w:val="left"/>
              <w:rPr>
                <w:rFonts w:ascii="仿宋_GB2312" w:eastAsia="仿宋_GB2312" w:hAnsi="仿宋"/>
                <w:kern w:val="0"/>
                <w:sz w:val="24"/>
              </w:rPr>
            </w:pPr>
            <w:r w:rsidRPr="009A5F03">
              <w:rPr>
                <w:rFonts w:ascii="仿宋_GB2312" w:eastAsia="仿宋_GB2312" w:hAnsi="仿宋" w:hint="eastAsia"/>
                <w:kern w:val="0"/>
                <w:sz w:val="24"/>
              </w:rPr>
              <w:t>（由</w:t>
            </w:r>
            <w:proofErr w:type="gramStart"/>
            <w:r w:rsidRPr="009A5F03">
              <w:rPr>
                <w:rFonts w:ascii="仿宋_GB2312" w:eastAsia="仿宋_GB2312" w:hAnsi="仿宋" w:hint="eastAsia"/>
                <w:kern w:val="0"/>
                <w:sz w:val="24"/>
              </w:rPr>
              <w:t>审改办</w:t>
            </w:r>
            <w:proofErr w:type="gramEnd"/>
            <w:r w:rsidRPr="009A5F03">
              <w:rPr>
                <w:rFonts w:ascii="仿宋_GB2312" w:eastAsia="仿宋_GB2312" w:hAnsi="仿宋" w:hint="eastAsia"/>
                <w:kern w:val="0"/>
                <w:sz w:val="24"/>
              </w:rPr>
              <w:t>统一填写）</w:t>
            </w:r>
          </w:p>
        </w:tc>
      </w:tr>
      <w:tr w:rsidR="0052774D" w:rsidRPr="00B17693" w:rsidTr="003F3587">
        <w:trPr>
          <w:gridAfter w:val="1"/>
          <w:wAfter w:w="46" w:type="dxa"/>
          <w:trHeight w:val="233"/>
        </w:trPr>
        <w:tc>
          <w:tcPr>
            <w:tcW w:w="1657" w:type="dxa"/>
            <w:vAlign w:val="center"/>
          </w:tcPr>
          <w:p w:rsidR="0052774D" w:rsidRPr="00BF0758" w:rsidRDefault="0052774D" w:rsidP="00E66255">
            <w:pPr>
              <w:widowControl/>
              <w:jc w:val="center"/>
              <w:rPr>
                <w:rFonts w:ascii="黑体" w:eastAsia="黑体" w:hAnsi="黑体"/>
                <w:kern w:val="0"/>
                <w:sz w:val="24"/>
              </w:rPr>
            </w:pPr>
            <w:r w:rsidRPr="00BF0758">
              <w:rPr>
                <w:rFonts w:ascii="黑体" w:eastAsia="黑体" w:hAnsi="黑体"/>
                <w:kern w:val="0"/>
                <w:sz w:val="24"/>
              </w:rPr>
              <w:t>备注</w:t>
            </w:r>
          </w:p>
        </w:tc>
        <w:tc>
          <w:tcPr>
            <w:tcW w:w="6865" w:type="dxa"/>
            <w:gridSpan w:val="2"/>
            <w:vAlign w:val="center"/>
          </w:tcPr>
          <w:p w:rsidR="0052774D" w:rsidRPr="00B17693" w:rsidRDefault="0052774D" w:rsidP="00E66255">
            <w:pPr>
              <w:widowControl/>
              <w:jc w:val="left"/>
              <w:rPr>
                <w:rFonts w:ascii="仿宋" w:eastAsia="仿宋" w:hAnsi="仿宋"/>
                <w:kern w:val="0"/>
                <w:sz w:val="24"/>
              </w:rPr>
            </w:pPr>
            <w:r w:rsidRPr="00B17693">
              <w:rPr>
                <w:rFonts w:ascii="仿宋" w:eastAsia="仿宋" w:hAnsi="仿宋"/>
                <w:kern w:val="0"/>
                <w:sz w:val="24"/>
              </w:rPr>
              <w:t xml:space="preserve">　</w:t>
            </w:r>
          </w:p>
        </w:tc>
      </w:tr>
    </w:tbl>
    <w:p w:rsidR="00B20CCE" w:rsidRPr="009A5F03" w:rsidRDefault="0052774D" w:rsidP="003F3587">
      <w:pPr>
        <w:spacing w:line="240" w:lineRule="exact"/>
        <w:ind w:firstLineChars="200" w:firstLine="480"/>
        <w:rPr>
          <w:rFonts w:ascii="仿宋_GB2312" w:eastAsia="仿宋_GB2312" w:hAnsi="仿宋" w:cs="仿宋_GB2312"/>
          <w:sz w:val="24"/>
        </w:rPr>
      </w:pPr>
      <w:r w:rsidRPr="009A5F03">
        <w:rPr>
          <w:rFonts w:ascii="仿宋_GB2312" w:eastAsia="仿宋_GB2312" w:hAnsi="仿宋" w:cs="仿宋_GB2312" w:hint="eastAsia"/>
          <w:sz w:val="24"/>
        </w:rPr>
        <w:t>注：1.表格要素原则上为必填项，确无对应内容则填报“无”；2.填报内容使用12号仿宋字体；3.其他填报要求详见附件9。</w:t>
      </w:r>
    </w:p>
    <w:p w:rsidR="00356E49" w:rsidRDefault="0052774D">
      <w:r>
        <w:rPr>
          <w:rFonts w:hint="eastAsia"/>
          <w:noProof/>
        </w:rPr>
        <w:lastRenderedPageBreak/>
        <w:drawing>
          <wp:inline distT="0" distB="0" distL="0" distR="0">
            <wp:extent cx="5276850" cy="7458075"/>
            <wp:effectExtent l="19050" t="0" r="0" b="0"/>
            <wp:docPr id="1" name="图片 1" descr="对食品生产经营者未按规定召回或停止经营不符合食品安全标准食品的责令其召回或停止经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对食品生产经营者未按规定召回或停止经营不符合食品安全标准食品的责令其召回或停止经营"/>
                    <pic:cNvPicPr>
                      <a:picLocks noChangeAspect="1" noChangeArrowheads="1"/>
                    </pic:cNvPicPr>
                  </pic:nvPicPr>
                  <pic:blipFill>
                    <a:blip r:embed="rId5" cstate="print"/>
                    <a:srcRect/>
                    <a:stretch>
                      <a:fillRect/>
                    </a:stretch>
                  </pic:blipFill>
                  <pic:spPr bwMode="auto">
                    <a:xfrm>
                      <a:off x="0" y="0"/>
                      <a:ext cx="5276850" cy="7458075"/>
                    </a:xfrm>
                    <a:prstGeom prst="rect">
                      <a:avLst/>
                    </a:prstGeom>
                    <a:noFill/>
                    <a:ln w="9525">
                      <a:noFill/>
                      <a:miter lim="800000"/>
                      <a:headEnd/>
                      <a:tailEnd/>
                    </a:ln>
                  </pic:spPr>
                </pic:pic>
              </a:graphicData>
            </a:graphic>
          </wp:inline>
        </w:drawing>
      </w:r>
    </w:p>
    <w:sectPr w:rsidR="00356E49" w:rsidSect="006A008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黑体"/>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0052774D"/>
    <w:rsid w:val="00356E49"/>
    <w:rsid w:val="003F3587"/>
    <w:rsid w:val="0041611B"/>
    <w:rsid w:val="0052774D"/>
    <w:rsid w:val="00534925"/>
    <w:rsid w:val="006A0085"/>
    <w:rsid w:val="00796F41"/>
    <w:rsid w:val="009A5F03"/>
    <w:rsid w:val="00A95FFD"/>
    <w:rsid w:val="00B20CCE"/>
    <w:rsid w:val="00BB5CF8"/>
    <w:rsid w:val="00BF0758"/>
    <w:rsid w:val="0A8C26DA"/>
    <w:rsid w:val="0D0C1474"/>
    <w:rsid w:val="103C59E8"/>
    <w:rsid w:val="10BB6702"/>
    <w:rsid w:val="11127111"/>
    <w:rsid w:val="17A553DC"/>
    <w:rsid w:val="1FD47844"/>
    <w:rsid w:val="2D1A688D"/>
    <w:rsid w:val="42C42797"/>
    <w:rsid w:val="463900BA"/>
    <w:rsid w:val="4B3F2B00"/>
    <w:rsid w:val="4D472ED5"/>
    <w:rsid w:val="532D0C3C"/>
    <w:rsid w:val="53C82606"/>
    <w:rsid w:val="5CCC024F"/>
    <w:rsid w:val="5E6934F3"/>
    <w:rsid w:val="684A4429"/>
    <w:rsid w:val="6A5662BC"/>
    <w:rsid w:val="6D095C70"/>
    <w:rsid w:val="72CD4B67"/>
    <w:rsid w:val="79ED26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0085"/>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B20CCE"/>
    <w:rPr>
      <w:sz w:val="18"/>
      <w:szCs w:val="18"/>
    </w:rPr>
  </w:style>
  <w:style w:type="character" w:customStyle="1" w:styleId="Char">
    <w:name w:val="批注框文本 Char"/>
    <w:basedOn w:val="a0"/>
    <w:link w:val="a3"/>
    <w:rsid w:val="00B20CCE"/>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293</Words>
  <Characters>1673</Characters>
  <Application>Microsoft Office Word</Application>
  <DocSecurity>0</DocSecurity>
  <PresentationFormat/>
  <Lines>13</Lines>
  <Paragraphs>3</Paragraphs>
  <Slides>0</Slides>
  <Notes>0</Notes>
  <HiddenSlides>0</HiddenSlides>
  <MMClips>0</MMClips>
  <ScaleCrop>false</ScaleCrop>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admin</cp:lastModifiedBy>
  <cp:revision>9</cp:revision>
  <dcterms:created xsi:type="dcterms:W3CDTF">2016-06-18T06:02:00Z</dcterms:created>
  <dcterms:modified xsi:type="dcterms:W3CDTF">2016-06-27T05:14:00Z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