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1F" w:rsidRDefault="007F361F" w:rsidP="007F361F">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7F361F" w:rsidRDefault="007F361F" w:rsidP="007F361F">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w:t>
      </w:r>
      <w:r w:rsidR="00EA771A">
        <w:rPr>
          <w:rFonts w:ascii="方正小标宋_GBK" w:eastAsia="方正小标宋_GBK" w:hAnsi="仿宋_GB2312" w:cs="仿宋_GB2312" w:hint="eastAsia"/>
          <w:sz w:val="36"/>
          <w:szCs w:val="36"/>
        </w:rPr>
        <w:t>处罚</w:t>
      </w:r>
      <w:r>
        <w:rPr>
          <w:rFonts w:ascii="方正小标宋_GBK" w:eastAsia="方正小标宋_GBK" w:hAnsi="仿宋_GB2312" w:cs="仿宋_GB2312" w:hint="eastAsia"/>
          <w:sz w:val="36"/>
          <w:szCs w:val="36"/>
        </w:rPr>
        <w:t>）</w:t>
      </w:r>
    </w:p>
    <w:p w:rsidR="007F361F" w:rsidRPr="007F361F" w:rsidRDefault="007F361F" w:rsidP="007F361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531CD4" w:rsidTr="00551AF8">
        <w:trPr>
          <w:trHeight w:val="454"/>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职权编码</w:t>
            </w:r>
          </w:p>
        </w:tc>
        <w:tc>
          <w:tcPr>
            <w:tcW w:w="6865" w:type="dxa"/>
            <w:vAlign w:val="center"/>
          </w:tcPr>
          <w:p w:rsidR="00531CD4" w:rsidRDefault="00C403D5" w:rsidP="00013200">
            <w:pPr>
              <w:widowControl/>
              <w:spacing w:line="270" w:lineRule="exact"/>
              <w:rPr>
                <w:rFonts w:ascii="仿宋_GB2312" w:eastAsia="仿宋_GB2312" w:hAnsi="宋体" w:cs="宋体"/>
                <w:kern w:val="0"/>
                <w:sz w:val="24"/>
              </w:rPr>
            </w:pPr>
            <w:r>
              <w:rPr>
                <w:rFonts w:ascii="仿宋" w:eastAsia="仿宋" w:hAnsi="仿宋" w:cs="仿宋_GB2312" w:hint="eastAsia"/>
                <w:sz w:val="24"/>
              </w:rPr>
              <w:t>09324612-1</w:t>
            </w:r>
            <w:r w:rsidR="00C70792">
              <w:rPr>
                <w:rFonts w:ascii="仿宋_GB2312" w:eastAsia="仿宋_GB2312" w:hAnsi="宋体" w:cs="宋体" w:hint="eastAsia"/>
                <w:kern w:val="0"/>
                <w:sz w:val="24"/>
              </w:rPr>
              <w:t>-CF-</w:t>
            </w:r>
            <w:r w:rsidR="00A6384A">
              <w:rPr>
                <w:rFonts w:ascii="仿宋_GB2312" w:eastAsia="仿宋_GB2312" w:hAnsi="宋体" w:cs="宋体" w:hint="eastAsia"/>
                <w:kern w:val="0"/>
                <w:sz w:val="24"/>
              </w:rPr>
              <w:t>02</w:t>
            </w:r>
            <w:r w:rsidR="00013200">
              <w:rPr>
                <w:rFonts w:ascii="仿宋_GB2312" w:eastAsia="仿宋_GB2312" w:hAnsi="宋体" w:cs="宋体" w:hint="eastAsia"/>
                <w:kern w:val="0"/>
                <w:sz w:val="24"/>
              </w:rPr>
              <w:t>7</w:t>
            </w:r>
            <w:bookmarkStart w:id="0" w:name="_GoBack"/>
            <w:bookmarkEnd w:id="0"/>
            <w:r w:rsidR="00C70792">
              <w:rPr>
                <w:rFonts w:ascii="仿宋_GB2312" w:eastAsia="仿宋_GB2312" w:hAnsi="宋体" w:cs="宋体" w:hint="eastAsia"/>
                <w:kern w:val="0"/>
                <w:sz w:val="24"/>
              </w:rPr>
              <w:t>-04</w:t>
            </w:r>
          </w:p>
        </w:tc>
      </w:tr>
      <w:tr w:rsidR="00531CD4" w:rsidTr="00551AF8">
        <w:trPr>
          <w:trHeight w:val="454"/>
        </w:trPr>
        <w:tc>
          <w:tcPr>
            <w:tcW w:w="1657" w:type="dxa"/>
            <w:shd w:val="clear" w:color="auto" w:fill="auto"/>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职权名称</w:t>
            </w:r>
          </w:p>
        </w:tc>
        <w:tc>
          <w:tcPr>
            <w:tcW w:w="6865" w:type="dxa"/>
            <w:shd w:val="solid" w:color="FFFFFF" w:fill="auto"/>
            <w:vAlign w:val="center"/>
          </w:tcPr>
          <w:p w:rsidR="00531CD4"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对无菌器械的生产、经营企业和医疗机构违反无菌器械管理规定的处罚</w:t>
            </w:r>
          </w:p>
        </w:tc>
      </w:tr>
      <w:tr w:rsidR="00531CD4" w:rsidTr="00551AF8">
        <w:trPr>
          <w:trHeight w:val="454"/>
        </w:trPr>
        <w:tc>
          <w:tcPr>
            <w:tcW w:w="1657" w:type="dxa"/>
            <w:shd w:val="clear" w:color="auto" w:fill="auto"/>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子项名称</w:t>
            </w:r>
          </w:p>
        </w:tc>
        <w:tc>
          <w:tcPr>
            <w:tcW w:w="6865" w:type="dxa"/>
            <w:shd w:val="solid" w:color="FFFFFF" w:fill="auto"/>
            <w:vAlign w:val="center"/>
          </w:tcPr>
          <w:p w:rsidR="00531CD4"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对使用无菌器械发生严重不良事件时，不按规定报告的处罚</w:t>
            </w:r>
          </w:p>
        </w:tc>
      </w:tr>
      <w:tr w:rsidR="00531CD4" w:rsidTr="00551AF8">
        <w:trPr>
          <w:trHeight w:val="454"/>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行使主体</w:t>
            </w:r>
          </w:p>
        </w:tc>
        <w:tc>
          <w:tcPr>
            <w:tcW w:w="6865" w:type="dxa"/>
            <w:vAlign w:val="center"/>
          </w:tcPr>
          <w:p w:rsidR="00531CD4" w:rsidRDefault="00C70792"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黄石市食品药品监督管理局</w:t>
            </w:r>
          </w:p>
        </w:tc>
      </w:tr>
      <w:tr w:rsidR="00531CD4" w:rsidTr="00551AF8">
        <w:trPr>
          <w:trHeight w:val="558"/>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职权依据</w:t>
            </w:r>
          </w:p>
        </w:tc>
        <w:tc>
          <w:tcPr>
            <w:tcW w:w="6865" w:type="dxa"/>
            <w:vAlign w:val="center"/>
          </w:tcPr>
          <w:p w:rsidR="00531CD4" w:rsidRPr="00ED07A2"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【规章】《一次性使用无菌医疗器械监督管理办法》（暂行）（2000年国家食品药品监督管理局令第24号） </w:t>
            </w:r>
          </w:p>
          <w:p w:rsidR="00531CD4" w:rsidRPr="00ED07A2"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第四十条　无菌器械的生产、经营企业和医疗机构违反本办法规定，有下列行为之一的，由县级以上药品监督管理部门责令改正，给予警告：</w:t>
            </w:r>
          </w:p>
          <w:p w:rsidR="00531CD4"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　　（四） 使用无菌器械发生严重不良事件时，不按规定报告的。</w:t>
            </w:r>
          </w:p>
        </w:tc>
      </w:tr>
      <w:tr w:rsidR="00531CD4" w:rsidTr="00551AF8">
        <w:trPr>
          <w:trHeight w:val="484"/>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违法违规行为</w:t>
            </w:r>
          </w:p>
        </w:tc>
        <w:tc>
          <w:tcPr>
            <w:tcW w:w="6865" w:type="dxa"/>
            <w:vAlign w:val="center"/>
          </w:tcPr>
          <w:p w:rsidR="00531CD4"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使用无菌器械发生严重不良事件时，不按规定报告</w:t>
            </w:r>
          </w:p>
        </w:tc>
      </w:tr>
      <w:tr w:rsidR="00531CD4" w:rsidTr="00551AF8">
        <w:trPr>
          <w:trHeight w:val="664"/>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处罚种类</w:t>
            </w:r>
          </w:p>
        </w:tc>
        <w:tc>
          <w:tcPr>
            <w:tcW w:w="6865" w:type="dxa"/>
            <w:vAlign w:val="center"/>
          </w:tcPr>
          <w:p w:rsidR="00531CD4" w:rsidRPr="00687F17" w:rsidRDefault="00531CD4" w:rsidP="00551AF8">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责令改正，给予警告</w:t>
            </w:r>
          </w:p>
        </w:tc>
      </w:tr>
      <w:tr w:rsidR="00531CD4" w:rsidTr="00551AF8">
        <w:trPr>
          <w:trHeight w:val="90"/>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t>细化量化自由裁量权标准</w:t>
            </w:r>
          </w:p>
        </w:tc>
        <w:tc>
          <w:tcPr>
            <w:tcW w:w="6865" w:type="dxa"/>
            <w:vAlign w:val="center"/>
          </w:tcPr>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hint="eastAsia"/>
                <w:kern w:val="0"/>
                <w:sz w:val="24"/>
              </w:rPr>
              <w:br/>
              <w:t>（一）个人初次违法，未涉及高风险产品、禁用物质，且涉案货值金额不超过3000元的；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（二）企业初次违法，未涉及高风险产品、禁用物质，且涉案货值不超过10000元的；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（三）中止违法行为，或者违法产品尚处于流通渠道未销售给消费者或者尚未投入使用的；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（四）受他人胁迫实施违法行为的；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（五）违反法律、法规或规章的要求，该法律规范规定责令改正或者警告的；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（六）行政许可申请已经被受理但尚未获得许可即行试营业的；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（七）持有的许可证期限届满未及时换证或者申请延续仍从事生产经营的；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（八）违反法定的登记、备案等非行政许可事项，没有引起不良后果的；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（九）法律、法规或规章规定的其他轻微违法情形的。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2.对轻微违法行为的罚款处罚幅度：</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A～A +（B-A）×30%</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二、违法情节一般</w:t>
            </w:r>
            <w:r>
              <w:rPr>
                <w:rFonts w:ascii="仿宋_GB2312" w:eastAsia="仿宋_GB2312" w:hAnsi="宋体" w:cs="宋体" w:hint="eastAsia"/>
                <w:kern w:val="0"/>
                <w:sz w:val="24"/>
              </w:rPr>
              <w:br/>
              <w:t>1.违法情形：当事人实施违法情节轻微及情节严重之外的违法行为，是一般违法行为。</w:t>
            </w:r>
            <w:r>
              <w:rPr>
                <w:rFonts w:ascii="仿宋_GB2312" w:eastAsia="仿宋_GB2312" w:hAnsi="宋体" w:cs="宋体" w:hint="eastAsia"/>
                <w:kern w:val="0"/>
                <w:sz w:val="24"/>
              </w:rPr>
              <w:br/>
              <w:t>2.对一般违法行为的罚款处罚幅度：</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 +（B-A）×30%～B-（B-A）×40%</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A为法定下限（即最低数额或倍数），B为法定上限（即最高数额或倍数）；法律规范条款只有法定上限的，A=0</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lastRenderedPageBreak/>
              <w:t>三、违法情节严重</w:t>
            </w:r>
            <w:r>
              <w:rPr>
                <w:rFonts w:ascii="仿宋_GB2312" w:eastAsia="仿宋_GB2312" w:hAnsi="宋体" w:cs="宋体" w:hint="eastAsia"/>
                <w:kern w:val="0"/>
                <w:sz w:val="24"/>
              </w:rPr>
              <w:br/>
              <w:t>（一）违反法律、法规或规章规定的禁止性规范，一年内因受到一次行政处罚后又实施同一违法行为的；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（二）违反法律、法规或规章规定的义务性规范并引起不良后果的；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（三）以食品、保健食品等非药品进行药品疗效宣传误导购买使用而引发群体性上访的；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（四）违法行为涉案假劣产品或者不符合安全标准的产品货值金额50000元以上的；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（五）伪造许可证、注册证、出入境检疫证明、批准证明文件、检验报告书从事食品药品生产经营活动的；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（六）从非法渠道采购不符合法定要求的原辅料投入生产或者购进不符合安全标准的产品而销售的；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（八）法律、法规或规章规定的其他严重违法情形的。</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2.对严重违法行为的罚款处罚幅度：</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B-（B-A）×40%～B</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531CD4" w:rsidRDefault="00531CD4" w:rsidP="00551AF8">
            <w:pPr>
              <w:widowControl/>
              <w:spacing w:line="270" w:lineRule="exact"/>
              <w:rPr>
                <w:rFonts w:ascii="仿宋_GB2312" w:eastAsia="仿宋_GB2312" w:hAnsi="宋体" w:cs="宋体"/>
                <w:kern w:val="0"/>
                <w:sz w:val="24"/>
              </w:rPr>
            </w:pPr>
          </w:p>
          <w:p w:rsidR="00531CD4" w:rsidRDefault="00531CD4" w:rsidP="00551AF8">
            <w:pPr>
              <w:widowControl/>
              <w:spacing w:line="270" w:lineRule="exact"/>
              <w:rPr>
                <w:rFonts w:ascii="仿宋_GB2312" w:eastAsia="仿宋_GB2312" w:hAnsi="宋体" w:cs="宋体"/>
                <w:kern w:val="0"/>
                <w:sz w:val="24"/>
              </w:rPr>
            </w:pPr>
          </w:p>
        </w:tc>
      </w:tr>
      <w:tr w:rsidR="00531CD4" w:rsidTr="00551AF8">
        <w:trPr>
          <w:trHeight w:val="600"/>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lastRenderedPageBreak/>
              <w:t>职权运行流程</w:t>
            </w:r>
          </w:p>
        </w:tc>
        <w:tc>
          <w:tcPr>
            <w:tcW w:w="6865" w:type="dxa"/>
            <w:vAlign w:val="center"/>
          </w:tcPr>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2、立案→调查→合议→权利告知→处罚决定→执行。</w:t>
            </w:r>
          </w:p>
        </w:tc>
      </w:tr>
      <w:tr w:rsidR="00C70792" w:rsidTr="00C65C52">
        <w:trPr>
          <w:trHeight w:val="6480"/>
        </w:trPr>
        <w:tc>
          <w:tcPr>
            <w:tcW w:w="1657" w:type="dxa"/>
            <w:vAlign w:val="center"/>
          </w:tcPr>
          <w:p w:rsidR="00C70792" w:rsidRPr="00A26FCC" w:rsidRDefault="00C70792" w:rsidP="00551AF8">
            <w:pPr>
              <w:jc w:val="center"/>
              <w:rPr>
                <w:rFonts w:ascii="黑体" w:eastAsia="黑体" w:hAnsi="黑体" w:cs="宋体"/>
                <w:kern w:val="0"/>
                <w:sz w:val="24"/>
                <w:szCs w:val="24"/>
              </w:rPr>
            </w:pPr>
            <w:r w:rsidRPr="00A26FCC">
              <w:rPr>
                <w:rFonts w:ascii="黑体" w:eastAsia="黑体" w:hAnsi="黑体" w:cs="宋体" w:hint="eastAsia"/>
                <w:kern w:val="0"/>
                <w:sz w:val="24"/>
                <w:szCs w:val="24"/>
              </w:rPr>
              <w:t>责任事项</w:t>
            </w:r>
          </w:p>
        </w:tc>
        <w:tc>
          <w:tcPr>
            <w:tcW w:w="6865" w:type="dxa"/>
            <w:vAlign w:val="center"/>
          </w:tcPr>
          <w:p w:rsidR="00C70792" w:rsidRDefault="00C70792"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1.当场处罚责任：</w:t>
            </w:r>
            <w:r>
              <w:rPr>
                <w:rFonts w:ascii="仿宋_GB2312" w:eastAsia="仿宋_GB2312" w:hAnsi="宋体" w:cs="宋体"/>
                <w:kern w:val="0"/>
                <w:sz w:val="24"/>
              </w:rPr>
              <w:t xml:space="preserve">  执法人员当场作出行政处罚决定的，应当向当事人出示执法证件，填写预定格式、编有号码并加盖食品药品监督管理部门公章的当场行政处罚决定书。</w:t>
            </w:r>
          </w:p>
          <w:p w:rsidR="00C70792" w:rsidRDefault="00C70792"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2-1.立案责任：通过举报、监督检查（或者下级食品药品监督管理部门上报及其他机关移送的违法案件等），发现涉嫌</w:t>
            </w:r>
            <w:r>
              <w:rPr>
                <w:rFonts w:ascii="仿宋_GB2312" w:eastAsia="仿宋_GB2312" w:hAnsi="宋体" w:cs="宋体"/>
                <w:kern w:val="0"/>
                <w:sz w:val="24"/>
              </w:rPr>
              <w:t>未取得《药品生产许可证》生产药品</w:t>
            </w:r>
            <w:r>
              <w:rPr>
                <w:rFonts w:ascii="仿宋_GB2312" w:eastAsia="仿宋_GB2312" w:hAnsi="宋体" w:cs="宋体" w:hint="eastAsia"/>
                <w:kern w:val="0"/>
                <w:sz w:val="24"/>
              </w:rPr>
              <w:t>的违法行为，予以审查，决定是否立案。</w:t>
            </w:r>
            <w:r>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70792" w:rsidRDefault="00C70792" w:rsidP="00551AF8">
            <w:pPr>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Pr>
                <w:rFonts w:ascii="仿宋_GB2312" w:eastAsia="仿宋_GB2312" w:hAnsi="宋体" w:cs="宋体" w:hint="eastAsia"/>
                <w:kern w:val="0"/>
                <w:sz w:val="24"/>
              </w:rPr>
              <w:br/>
              <w:t>2-4.权利告知责任：作出行政处罚决定前，应制作《行政处罚告知书》送达当事人，告知违法事实及其享有的陈述、申辩等权利。符合听证规定的，制作并送达《行政处罚听证告知书》。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hint="eastAsia"/>
                <w:kern w:val="0"/>
                <w:sz w:val="24"/>
              </w:rPr>
              <w:br/>
              <w:t>2-5.处罚决定责任：作出处罚决定，制作行政处罚决定书，载明行政处罚告知、当事人陈述申辩或者听证情况等内容。</w:t>
            </w:r>
            <w:r>
              <w:rPr>
                <w:rFonts w:ascii="仿宋_GB2312" w:eastAsia="仿宋_GB2312" w:hAnsi="宋体" w:cs="宋体" w:hint="eastAsia"/>
                <w:kern w:val="0"/>
                <w:sz w:val="24"/>
              </w:rPr>
              <w:br/>
              <w:t>2-6.执行责任：依照生效的行政处罚决定，自觉履行或强制执行。</w:t>
            </w:r>
            <w:r>
              <w:rPr>
                <w:rFonts w:ascii="仿宋_GB2312" w:eastAsia="仿宋_GB2312" w:hAnsi="宋体" w:cs="宋体" w:hint="eastAsia"/>
                <w:kern w:val="0"/>
                <w:sz w:val="24"/>
              </w:rPr>
              <w:br/>
              <w:t>2-7.其他规范性文件规定应履行的责任。</w:t>
            </w:r>
          </w:p>
        </w:tc>
      </w:tr>
      <w:tr w:rsidR="00531CD4" w:rsidTr="00551AF8">
        <w:trPr>
          <w:trHeight w:val="1691"/>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lastRenderedPageBreak/>
              <w:t>责任事项依据</w:t>
            </w:r>
          </w:p>
        </w:tc>
        <w:tc>
          <w:tcPr>
            <w:tcW w:w="6865" w:type="dxa"/>
          </w:tcPr>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第四十二条 违法事实确凿并有法定依据，对公民处以50元以下、对法人或者其他组织处以1000元以下罚款或者警告的行政处罚的，可以当场作出行政处罚决定。第四十三条 执法人员当场作出行政处罚决定的，应当向当事人出示执法证件，填写预定格式、编有号码并加盖食品药品监督管理部门公章的当场行政处罚决定书。当场行政处罚决定书应当当场交付当事人，当事人签字或者盖章签收。</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第十七条 食品药品监督管理部门应当对下列事项及时调查处理：</w:t>
            </w:r>
            <w:r>
              <w:rPr>
                <w:rFonts w:ascii="仿宋_GB2312" w:eastAsia="仿宋_GB2312" w:hAnsi="宋体" w:cs="宋体" w:hint="eastAsia"/>
                <w:kern w:val="0"/>
                <w:sz w:val="24"/>
              </w:rPr>
              <w:t>......</w:t>
            </w:r>
            <w:r>
              <w:rPr>
                <w:rFonts w:ascii="仿宋_GB2312" w:eastAsia="仿宋_GB2312" w:hAnsi="宋体" w:cs="宋体"/>
                <w:kern w:val="0"/>
                <w:sz w:val="24"/>
              </w:rPr>
              <w:t>符合立案条件的，应当在7个工作日内立案。第十八条 立案应当符合下列条件：</w:t>
            </w:r>
            <w:r>
              <w:rPr>
                <w:rFonts w:ascii="仿宋_GB2312" w:eastAsia="仿宋_GB2312" w:hAnsi="宋体" w:cs="宋体" w:hint="eastAsia"/>
                <w:kern w:val="0"/>
                <w:sz w:val="24"/>
              </w:rPr>
              <w:t>......</w:t>
            </w:r>
            <w:r>
              <w:rPr>
                <w:rFonts w:ascii="仿宋_GB2312" w:eastAsia="仿宋_GB2312" w:hAnsi="宋体" w:cs="宋体"/>
                <w:kern w:val="0"/>
                <w:sz w:val="24"/>
              </w:rPr>
              <w:t>符合立案条件的，应当报分管负责人批准立案，并确定2名以上执法人员为案件承办人。</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2-2</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第二十条 食品药品监督管理部门进行案件调查时，执法人员不得少于2人，并应当出示执法证件。首次向案件当事人收集、调取证据的，应当告知其有申请办案人员回避的权利</w:t>
            </w:r>
            <w:r>
              <w:rPr>
                <w:rFonts w:ascii="仿宋_GB2312" w:eastAsia="仿宋_GB2312" w:hAnsi="宋体" w:cs="宋体" w:hint="eastAsia"/>
                <w:kern w:val="0"/>
                <w:sz w:val="24"/>
              </w:rPr>
              <w:t>。</w:t>
            </w:r>
            <w:r>
              <w:rPr>
                <w:rFonts w:ascii="仿宋_GB2312" w:eastAsia="仿宋_GB2312" w:hAnsi="宋体" w:cs="宋体"/>
                <w:kern w:val="0"/>
                <w:sz w:val="24"/>
              </w:rPr>
              <w:t>第十九条 办案人员有下列情形之一的，应当自行回避；当事人也有权申请其回避：</w:t>
            </w:r>
            <w:r>
              <w:rPr>
                <w:rFonts w:ascii="仿宋_GB2312" w:eastAsia="仿宋_GB2312" w:hAnsi="宋体" w:cs="宋体" w:hint="eastAsia"/>
                <w:kern w:val="0"/>
                <w:sz w:val="24"/>
              </w:rPr>
              <w:t>......</w:t>
            </w:r>
            <w:r>
              <w:rPr>
                <w:rFonts w:ascii="仿宋_GB2312" w:eastAsia="仿宋_GB2312" w:hAnsi="宋体" w:cs="宋体"/>
                <w:kern w:val="0"/>
                <w:sz w:val="24"/>
              </w:rPr>
              <w:t>办案人员的回避由食品药品监督管理部门分管负责人决定，负责人的回避由部门其他负责人集体研究决定。回避决定作出前，被申请回避人员不得擅自停止对案件的调查处理。</w:t>
            </w:r>
            <w:r>
              <w:rPr>
                <w:rFonts w:ascii="仿宋_GB2312" w:eastAsia="仿宋_GB2312" w:hAnsi="宋体" w:cs="宋体" w:hint="eastAsia"/>
                <w:kern w:val="0"/>
                <w:sz w:val="24"/>
              </w:rPr>
              <w:br/>
              <w:t>2-3.</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Pr>
                <w:rFonts w:ascii="仿宋_GB2312" w:eastAsia="仿宋_GB2312" w:hAnsi="宋体" w:cs="宋体" w:hint="eastAsia"/>
                <w:kern w:val="0"/>
                <w:sz w:val="24"/>
              </w:rPr>
              <w:br/>
              <w:t>2-4.</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第三十六条 食品药品监督管理部门在作出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作出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2-5.《行政处罚法》（2009年8月27日修订）第三十九条  行政机关依照本法第三十八条的规定给予行政处罚，应当制作行政处罚决定书。</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第四十条 食品药品监督管理部门作出行政处罚决定，应当制作行政处罚决定书。行政处罚决定书应当载明下列事项：</w:t>
            </w:r>
            <w:r>
              <w:rPr>
                <w:rFonts w:ascii="仿宋_GB2312" w:eastAsia="仿宋_GB2312" w:hAnsi="宋体" w:cs="宋体" w:hint="eastAsia"/>
                <w:kern w:val="0"/>
                <w:sz w:val="24"/>
              </w:rPr>
              <w:t>......</w:t>
            </w:r>
            <w:r>
              <w:rPr>
                <w:rFonts w:ascii="仿宋_GB2312" w:eastAsia="仿宋_GB2312" w:hAnsi="宋体" w:cs="宋体"/>
                <w:kern w:val="0"/>
                <w:sz w:val="24"/>
              </w:rPr>
              <w:t>行政处罚决定书应当盖有作出行政处罚决定的食品药品监督管理部门的公章。</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第四十五条 行政处罚决定书应当在宣告</w:t>
            </w:r>
            <w:r>
              <w:rPr>
                <w:rFonts w:ascii="仿宋_GB2312" w:eastAsia="仿宋_GB2312" w:hAnsi="宋体" w:cs="宋体"/>
                <w:kern w:val="0"/>
                <w:sz w:val="24"/>
              </w:rPr>
              <w:lastRenderedPageBreak/>
              <w:t>后当场交付当事人；当事人不在场的，应当在7日内依照本章规定，将行政处罚决定书送达当事人。</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2-7.《行政处罚法》（2009年8月27日修订）第四十四条  行政处罚决定依法作出后，当事人应当在行政处罚决定的期限内，予以履行。第五十一条  当事人逾期不履行行政处罚决定的，作出行政处罚决定的行政机关可以采取下列措施：…… </w:t>
            </w:r>
          </w:p>
          <w:p w:rsidR="00531CD4" w:rsidRDefault="00C70792"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2-8. 其他规范性文件规定应履行的责。</w:t>
            </w:r>
            <w:r w:rsidR="00531CD4">
              <w:rPr>
                <w:rFonts w:ascii="仿宋_GB2312" w:eastAsia="仿宋_GB2312" w:hAnsi="宋体" w:cs="宋体" w:hint="eastAsia"/>
                <w:kern w:val="0"/>
                <w:sz w:val="24"/>
              </w:rPr>
              <w:t xml:space="preserve">                                                                              </w:t>
            </w:r>
          </w:p>
        </w:tc>
      </w:tr>
      <w:tr w:rsidR="00531CD4" w:rsidTr="00551AF8">
        <w:trPr>
          <w:trHeight w:val="823"/>
        </w:trPr>
        <w:tc>
          <w:tcPr>
            <w:tcW w:w="1657" w:type="dxa"/>
            <w:vAlign w:val="center"/>
          </w:tcPr>
          <w:p w:rsidR="00531CD4" w:rsidRPr="00A26FCC" w:rsidRDefault="00531CD4" w:rsidP="00551AF8">
            <w:pPr>
              <w:widowControl/>
              <w:jc w:val="center"/>
              <w:rPr>
                <w:rFonts w:ascii="黑体" w:eastAsia="黑体" w:hAnsi="黑体" w:cs="宋体"/>
                <w:kern w:val="0"/>
                <w:sz w:val="24"/>
                <w:szCs w:val="24"/>
              </w:rPr>
            </w:pPr>
            <w:r w:rsidRPr="00A26FCC">
              <w:rPr>
                <w:rFonts w:ascii="黑体" w:eastAsia="黑体" w:hAnsi="黑体" w:cs="宋体" w:hint="eastAsia"/>
                <w:kern w:val="0"/>
                <w:sz w:val="24"/>
                <w:szCs w:val="24"/>
              </w:rPr>
              <w:lastRenderedPageBreak/>
              <w:t>职责边界</w:t>
            </w:r>
          </w:p>
        </w:tc>
        <w:tc>
          <w:tcPr>
            <w:tcW w:w="6865" w:type="dxa"/>
            <w:vAlign w:val="center"/>
          </w:tcPr>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一、责任分工</w:t>
            </w:r>
            <w:r>
              <w:rPr>
                <w:rFonts w:ascii="仿宋_GB2312" w:eastAsia="仿宋_GB2312" w:hAnsi="宋体" w:cs="宋体" w:hint="eastAsia"/>
                <w:kern w:val="0"/>
                <w:sz w:val="24"/>
              </w:rPr>
              <w:br/>
            </w:r>
            <w:r>
              <w:rPr>
                <w:rFonts w:ascii="仿宋_GB2312" w:eastAsia="仿宋_GB2312" w:hAnsi="宋体" w:cs="宋体"/>
                <w:kern w:val="0"/>
                <w:sz w:val="24"/>
              </w:rPr>
              <w:t>行政处罚由违法行为发生地的食品药品监督管理部门管辖。</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 xml:space="preserve"> 县（区）、市（地、州）食品药品监督管理部门依职权管辖本行政区域内的食品药品行政处罚案件。</w:t>
            </w:r>
          </w:p>
          <w:p w:rsidR="00531CD4" w:rsidRDefault="00531CD4" w:rsidP="00551AF8">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二、相关依据</w:t>
            </w:r>
            <w:r>
              <w:rPr>
                <w:rFonts w:ascii="仿宋_GB2312" w:eastAsia="仿宋_GB2312" w:hAnsi="宋体" w:cs="宋体" w:hint="eastAsia"/>
                <w:kern w:val="0"/>
                <w:sz w:val="24"/>
              </w:rPr>
              <w:b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8116C4" w:rsidRPr="00B17693" w:rsidTr="00E66255">
        <w:trPr>
          <w:trHeight w:val="600"/>
        </w:trPr>
        <w:tc>
          <w:tcPr>
            <w:tcW w:w="1657" w:type="dxa"/>
            <w:vAlign w:val="center"/>
          </w:tcPr>
          <w:p w:rsidR="008116C4" w:rsidRPr="00A26FCC" w:rsidRDefault="008116C4" w:rsidP="00E66255">
            <w:pPr>
              <w:widowControl/>
              <w:jc w:val="center"/>
              <w:rPr>
                <w:rFonts w:ascii="黑体" w:eastAsia="黑体" w:hAnsi="黑体"/>
                <w:kern w:val="0"/>
                <w:sz w:val="24"/>
                <w:szCs w:val="24"/>
              </w:rPr>
            </w:pPr>
            <w:r w:rsidRPr="00A26FCC">
              <w:rPr>
                <w:rFonts w:ascii="黑体" w:eastAsia="黑体" w:hAnsi="黑体" w:hint="eastAsia"/>
                <w:kern w:val="0"/>
                <w:sz w:val="24"/>
                <w:szCs w:val="24"/>
              </w:rPr>
              <w:t>承办机构</w:t>
            </w:r>
          </w:p>
        </w:tc>
        <w:tc>
          <w:tcPr>
            <w:tcW w:w="6865" w:type="dxa"/>
            <w:vAlign w:val="center"/>
          </w:tcPr>
          <w:p w:rsidR="008116C4" w:rsidRPr="005B1E24" w:rsidRDefault="008116C4" w:rsidP="00E66255">
            <w:pPr>
              <w:widowControl/>
              <w:jc w:val="left"/>
              <w:rPr>
                <w:rFonts w:ascii="仿宋_GB2312" w:eastAsia="仿宋_GB2312" w:hAnsi="仿宋"/>
                <w:kern w:val="0"/>
                <w:sz w:val="24"/>
                <w:szCs w:val="24"/>
              </w:rPr>
            </w:pPr>
            <w:r w:rsidRPr="005B1E24">
              <w:rPr>
                <w:rFonts w:ascii="仿宋_GB2312" w:eastAsia="仿宋_GB2312" w:hAnsi="仿宋" w:hint="eastAsia"/>
                <w:kern w:val="0"/>
                <w:sz w:val="24"/>
                <w:szCs w:val="24"/>
              </w:rPr>
              <w:t>西塞山区食品药品监督管理局</w:t>
            </w:r>
          </w:p>
        </w:tc>
      </w:tr>
      <w:tr w:rsidR="008116C4" w:rsidRPr="00B17693" w:rsidTr="00E66255">
        <w:trPr>
          <w:trHeight w:val="600"/>
        </w:trPr>
        <w:tc>
          <w:tcPr>
            <w:tcW w:w="1657" w:type="dxa"/>
            <w:vAlign w:val="center"/>
          </w:tcPr>
          <w:p w:rsidR="008116C4" w:rsidRPr="00A26FCC" w:rsidRDefault="008116C4" w:rsidP="00E66255">
            <w:pPr>
              <w:widowControl/>
              <w:jc w:val="center"/>
              <w:rPr>
                <w:rFonts w:ascii="黑体" w:eastAsia="黑体" w:hAnsi="黑体"/>
                <w:kern w:val="0"/>
                <w:sz w:val="24"/>
                <w:szCs w:val="24"/>
              </w:rPr>
            </w:pPr>
            <w:r w:rsidRPr="00A26FCC">
              <w:rPr>
                <w:rFonts w:ascii="黑体" w:eastAsia="黑体" w:hAnsi="黑体" w:hint="eastAsia"/>
                <w:kern w:val="0"/>
                <w:sz w:val="24"/>
                <w:szCs w:val="24"/>
              </w:rPr>
              <w:t>咨询方式</w:t>
            </w:r>
          </w:p>
        </w:tc>
        <w:tc>
          <w:tcPr>
            <w:tcW w:w="6865" w:type="dxa"/>
            <w:vAlign w:val="center"/>
          </w:tcPr>
          <w:p w:rsidR="008116C4" w:rsidRPr="005B1E24" w:rsidRDefault="008116C4" w:rsidP="00E66255">
            <w:pPr>
              <w:widowControl/>
              <w:jc w:val="left"/>
              <w:rPr>
                <w:rFonts w:ascii="仿宋_GB2312" w:eastAsia="仿宋_GB2312" w:hAnsi="仿宋"/>
                <w:kern w:val="0"/>
                <w:sz w:val="24"/>
                <w:szCs w:val="24"/>
              </w:rPr>
            </w:pPr>
            <w:r w:rsidRPr="005B1E24">
              <w:rPr>
                <w:rFonts w:ascii="仿宋_GB2312" w:eastAsia="仿宋_GB2312" w:hAnsi="仿宋" w:hint="eastAsia"/>
                <w:kern w:val="0"/>
                <w:sz w:val="24"/>
                <w:szCs w:val="24"/>
              </w:rPr>
              <w:t>0714-3295677、西塞山区食品药品监督管理局综合办</w:t>
            </w:r>
          </w:p>
        </w:tc>
      </w:tr>
      <w:tr w:rsidR="008116C4" w:rsidRPr="00B17693" w:rsidTr="00E66255">
        <w:trPr>
          <w:trHeight w:val="600"/>
        </w:trPr>
        <w:tc>
          <w:tcPr>
            <w:tcW w:w="1657" w:type="dxa"/>
            <w:vAlign w:val="center"/>
          </w:tcPr>
          <w:p w:rsidR="008116C4" w:rsidRPr="00A26FCC" w:rsidRDefault="008116C4" w:rsidP="00E66255">
            <w:pPr>
              <w:widowControl/>
              <w:jc w:val="center"/>
              <w:rPr>
                <w:rFonts w:ascii="黑体" w:eastAsia="黑体" w:hAnsi="黑体"/>
                <w:kern w:val="0"/>
                <w:sz w:val="24"/>
                <w:szCs w:val="24"/>
              </w:rPr>
            </w:pPr>
            <w:r w:rsidRPr="00A26FCC">
              <w:rPr>
                <w:rFonts w:ascii="黑体" w:eastAsia="黑体" w:hAnsi="黑体" w:hint="eastAsia"/>
                <w:kern w:val="0"/>
                <w:sz w:val="24"/>
                <w:szCs w:val="24"/>
              </w:rPr>
              <w:t>监督投诉方式</w:t>
            </w:r>
          </w:p>
        </w:tc>
        <w:tc>
          <w:tcPr>
            <w:tcW w:w="6865" w:type="dxa"/>
            <w:vAlign w:val="center"/>
          </w:tcPr>
          <w:p w:rsidR="008116C4" w:rsidRPr="005B1E24" w:rsidRDefault="008116C4" w:rsidP="00E66255">
            <w:pPr>
              <w:widowControl/>
              <w:jc w:val="left"/>
              <w:rPr>
                <w:rFonts w:ascii="仿宋_GB2312" w:eastAsia="仿宋_GB2312" w:hAnsi="仿宋" w:cs="宋体"/>
                <w:kern w:val="0"/>
                <w:sz w:val="24"/>
                <w:szCs w:val="24"/>
              </w:rPr>
            </w:pPr>
            <w:r w:rsidRPr="005B1E24">
              <w:rPr>
                <w:rFonts w:ascii="仿宋_GB2312" w:eastAsia="仿宋_GB2312" w:hAnsi="仿宋" w:cs="宋体" w:hint="eastAsia"/>
                <w:kern w:val="0"/>
                <w:sz w:val="24"/>
                <w:szCs w:val="24"/>
              </w:rPr>
              <w:t>0714-3295677、西塞山区食品药品监督管理局综合办</w:t>
            </w:r>
          </w:p>
        </w:tc>
      </w:tr>
      <w:tr w:rsidR="008116C4" w:rsidRPr="00B17693" w:rsidTr="00E66255">
        <w:trPr>
          <w:trHeight w:val="600"/>
        </w:trPr>
        <w:tc>
          <w:tcPr>
            <w:tcW w:w="1657" w:type="dxa"/>
            <w:vAlign w:val="center"/>
          </w:tcPr>
          <w:p w:rsidR="008116C4" w:rsidRPr="00A26FCC" w:rsidRDefault="008116C4" w:rsidP="00E66255">
            <w:pPr>
              <w:widowControl/>
              <w:jc w:val="center"/>
              <w:rPr>
                <w:rFonts w:ascii="黑体" w:eastAsia="黑体" w:hAnsi="黑体"/>
                <w:kern w:val="0"/>
                <w:sz w:val="24"/>
                <w:szCs w:val="24"/>
              </w:rPr>
            </w:pPr>
            <w:r w:rsidRPr="00A26FCC">
              <w:rPr>
                <w:rFonts w:ascii="黑体" w:eastAsia="黑体" w:hAnsi="黑体"/>
                <w:kern w:val="0"/>
                <w:sz w:val="24"/>
                <w:szCs w:val="24"/>
              </w:rPr>
              <w:t>审核意见</w:t>
            </w:r>
          </w:p>
        </w:tc>
        <w:tc>
          <w:tcPr>
            <w:tcW w:w="6865" w:type="dxa"/>
            <w:vAlign w:val="center"/>
          </w:tcPr>
          <w:p w:rsidR="008116C4" w:rsidRPr="005B1E24" w:rsidRDefault="008116C4" w:rsidP="00E66255">
            <w:pPr>
              <w:widowControl/>
              <w:jc w:val="left"/>
              <w:rPr>
                <w:rFonts w:ascii="仿宋_GB2312" w:eastAsia="仿宋_GB2312" w:hAnsi="仿宋"/>
                <w:kern w:val="0"/>
                <w:sz w:val="24"/>
                <w:szCs w:val="24"/>
              </w:rPr>
            </w:pPr>
            <w:r w:rsidRPr="005B1E24">
              <w:rPr>
                <w:rFonts w:ascii="仿宋_GB2312" w:eastAsia="仿宋_GB2312" w:hAnsi="仿宋" w:hint="eastAsia"/>
                <w:kern w:val="0"/>
                <w:sz w:val="24"/>
                <w:szCs w:val="24"/>
              </w:rPr>
              <w:t>（由审改办统一填写）</w:t>
            </w:r>
          </w:p>
        </w:tc>
      </w:tr>
      <w:tr w:rsidR="008116C4" w:rsidRPr="00B17693" w:rsidTr="00E66255">
        <w:trPr>
          <w:trHeight w:val="600"/>
        </w:trPr>
        <w:tc>
          <w:tcPr>
            <w:tcW w:w="1657" w:type="dxa"/>
            <w:vAlign w:val="center"/>
          </w:tcPr>
          <w:p w:rsidR="008116C4" w:rsidRPr="00A26FCC" w:rsidRDefault="008116C4" w:rsidP="00E66255">
            <w:pPr>
              <w:widowControl/>
              <w:jc w:val="center"/>
              <w:rPr>
                <w:rFonts w:ascii="黑体" w:eastAsia="黑体" w:hAnsi="黑体"/>
                <w:kern w:val="0"/>
                <w:sz w:val="24"/>
                <w:szCs w:val="24"/>
              </w:rPr>
            </w:pPr>
            <w:r w:rsidRPr="00A26FCC">
              <w:rPr>
                <w:rFonts w:ascii="黑体" w:eastAsia="黑体" w:hAnsi="黑体"/>
                <w:kern w:val="0"/>
                <w:sz w:val="24"/>
                <w:szCs w:val="24"/>
              </w:rPr>
              <w:t>备注</w:t>
            </w:r>
          </w:p>
        </w:tc>
        <w:tc>
          <w:tcPr>
            <w:tcW w:w="6865" w:type="dxa"/>
            <w:vAlign w:val="center"/>
          </w:tcPr>
          <w:p w:rsidR="008116C4" w:rsidRPr="00B17693" w:rsidRDefault="008116C4"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8116C4" w:rsidRPr="005B1E24" w:rsidRDefault="008116C4" w:rsidP="008116C4">
      <w:pPr>
        <w:spacing w:line="360" w:lineRule="exact"/>
        <w:ind w:firstLineChars="200" w:firstLine="480"/>
        <w:rPr>
          <w:rFonts w:ascii="仿宋_GB2312" w:eastAsia="仿宋_GB2312" w:hAnsi="仿宋" w:cs="仿宋_GB2312"/>
          <w:sz w:val="24"/>
          <w:szCs w:val="24"/>
        </w:rPr>
      </w:pPr>
      <w:r w:rsidRPr="005B1E24">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8116C4" w:rsidRPr="005B1E24" w:rsidRDefault="008116C4" w:rsidP="008116C4">
      <w:pPr>
        <w:rPr>
          <w:rFonts w:ascii="仿宋_GB2312" w:eastAsia="仿宋_GB2312" w:hAnsi="仿宋"/>
          <w:sz w:val="24"/>
          <w:szCs w:val="24"/>
        </w:rPr>
      </w:pPr>
    </w:p>
    <w:p w:rsidR="008116C4" w:rsidRPr="008116C4" w:rsidRDefault="008116C4">
      <w:pPr>
        <w:rPr>
          <w:rFonts w:ascii="黑体" w:eastAsia="黑体"/>
          <w:sz w:val="30"/>
          <w:szCs w:val="30"/>
        </w:rPr>
      </w:pPr>
    </w:p>
    <w:p w:rsidR="008116C4" w:rsidRDefault="008116C4">
      <w:pPr>
        <w:rPr>
          <w:rFonts w:ascii="黑体" w:eastAsia="黑体"/>
          <w:sz w:val="30"/>
          <w:szCs w:val="30"/>
        </w:rPr>
      </w:pPr>
    </w:p>
    <w:p w:rsidR="008116C4" w:rsidRDefault="008116C4">
      <w:pPr>
        <w:rPr>
          <w:rFonts w:ascii="黑体" w:eastAsia="黑体"/>
          <w:sz w:val="30"/>
          <w:szCs w:val="30"/>
        </w:rPr>
      </w:pPr>
    </w:p>
    <w:p w:rsidR="008116C4" w:rsidRDefault="008116C4">
      <w:pPr>
        <w:rPr>
          <w:rFonts w:ascii="黑体" w:eastAsia="黑体"/>
          <w:sz w:val="30"/>
          <w:szCs w:val="30"/>
        </w:rPr>
      </w:pPr>
    </w:p>
    <w:p w:rsidR="008116C4" w:rsidRDefault="008116C4">
      <w:pPr>
        <w:rPr>
          <w:rFonts w:ascii="黑体" w:eastAsia="黑体"/>
          <w:sz w:val="30"/>
          <w:szCs w:val="30"/>
        </w:rPr>
      </w:pPr>
    </w:p>
    <w:p w:rsidR="005B1E24" w:rsidRDefault="005B1E24" w:rsidP="00A26FCC">
      <w:pPr>
        <w:rPr>
          <w:rFonts w:ascii="黑体" w:eastAsia="黑体"/>
          <w:sz w:val="30"/>
          <w:szCs w:val="30"/>
        </w:rPr>
      </w:pPr>
    </w:p>
    <w:p w:rsidR="00551378" w:rsidRDefault="008116C4" w:rsidP="007C7CCF">
      <w:pPr>
        <w:jc w:val="center"/>
      </w:pPr>
      <w:r>
        <w:rPr>
          <w:rFonts w:ascii="黑体" w:eastAsia="黑体" w:hint="eastAsia"/>
          <w:sz w:val="30"/>
          <w:szCs w:val="30"/>
        </w:rPr>
        <w:lastRenderedPageBreak/>
        <w:t>对无菌器械的生产、经营企业和医疗机构违反无菌器械管理规定的处罚</w:t>
      </w:r>
      <w:r w:rsidR="000301E0">
        <w:rPr>
          <w:rFonts w:ascii="黑体" w:eastAsia="黑体" w:hint="eastAsia"/>
          <w:sz w:val="30"/>
          <w:szCs w:val="30"/>
        </w:rPr>
        <w:t>行政职权运行</w:t>
      </w:r>
      <w:r w:rsidR="007C7CCF">
        <w:rPr>
          <w:rFonts w:ascii="黑体" w:eastAsia="黑体" w:hint="eastAsia"/>
          <w:sz w:val="30"/>
          <w:szCs w:val="30"/>
        </w:rPr>
        <w:t>流程图</w:t>
      </w:r>
      <w:r w:rsidR="000301E0">
        <w:rPr>
          <w:rFonts w:ascii="黑体" w:eastAsia="黑体" w:hint="eastAsia"/>
          <w:sz w:val="30"/>
          <w:szCs w:val="30"/>
        </w:rPr>
        <w:t>（行政处罚）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299" r:id="rId8"/>
        </w:object>
      </w:r>
    </w:p>
    <w:sectPr w:rsidR="00551378"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C9" w:rsidRDefault="003302C9" w:rsidP="00531CD4">
      <w:r>
        <w:separator/>
      </w:r>
    </w:p>
  </w:endnote>
  <w:endnote w:type="continuationSeparator" w:id="0">
    <w:p w:rsidR="003302C9" w:rsidRDefault="003302C9" w:rsidP="0053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C9" w:rsidRDefault="003302C9" w:rsidP="00531CD4">
      <w:r>
        <w:separator/>
      </w:r>
    </w:p>
  </w:footnote>
  <w:footnote w:type="continuationSeparator" w:id="0">
    <w:p w:rsidR="003302C9" w:rsidRDefault="003302C9" w:rsidP="0053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CD4"/>
    <w:rsid w:val="00013200"/>
    <w:rsid w:val="000301E0"/>
    <w:rsid w:val="000A15FC"/>
    <w:rsid w:val="001C1D4C"/>
    <w:rsid w:val="001E3A9A"/>
    <w:rsid w:val="00207EB3"/>
    <w:rsid w:val="003302C9"/>
    <w:rsid w:val="003861B9"/>
    <w:rsid w:val="004C4715"/>
    <w:rsid w:val="00531CD4"/>
    <w:rsid w:val="00551378"/>
    <w:rsid w:val="00551AF8"/>
    <w:rsid w:val="005B1E24"/>
    <w:rsid w:val="00604F3E"/>
    <w:rsid w:val="00610DF8"/>
    <w:rsid w:val="007A2941"/>
    <w:rsid w:val="007C7CCF"/>
    <w:rsid w:val="007F361F"/>
    <w:rsid w:val="008116C4"/>
    <w:rsid w:val="0083461A"/>
    <w:rsid w:val="00837B9C"/>
    <w:rsid w:val="0088146E"/>
    <w:rsid w:val="008830B7"/>
    <w:rsid w:val="00974FDE"/>
    <w:rsid w:val="00A26FCC"/>
    <w:rsid w:val="00A6384A"/>
    <w:rsid w:val="00BB55CA"/>
    <w:rsid w:val="00C403D5"/>
    <w:rsid w:val="00C65C52"/>
    <w:rsid w:val="00C70792"/>
    <w:rsid w:val="00D428F1"/>
    <w:rsid w:val="00EA26C2"/>
    <w:rsid w:val="00EA771A"/>
    <w:rsid w:val="00ED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D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CD4"/>
    <w:rPr>
      <w:sz w:val="18"/>
      <w:szCs w:val="18"/>
    </w:rPr>
  </w:style>
  <w:style w:type="paragraph" w:styleId="a4">
    <w:name w:val="footer"/>
    <w:basedOn w:val="a"/>
    <w:link w:val="Char0"/>
    <w:uiPriority w:val="99"/>
    <w:semiHidden/>
    <w:unhideWhenUsed/>
    <w:rsid w:val="00531C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C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2016-06-18T05:53:00Z</dcterms:created>
  <dcterms:modified xsi:type="dcterms:W3CDTF">2016-06-27T05:12:00Z</dcterms:modified>
</cp:coreProperties>
</file>