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二、行政职权基本信息表（行政处罚）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西塞山区商务局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6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职权编码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05812773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-CF</w:t>
            </w:r>
            <w:r>
              <w:rPr>
                <w:rFonts w:ascii="仿宋_GB2312" w:hAnsi="仿宋" w:eastAsia="仿宋_GB2312"/>
                <w:kern w:val="0"/>
                <w:sz w:val="24"/>
                <w:szCs w:val="24"/>
              </w:rPr>
              <w:t>-01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hAnsi="仿宋" w:eastAsia="仿宋_GB2312"/>
                <w:kern w:val="0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职权名称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对洗染经营者违规经营行为的处罚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子项名称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行使主体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西塞山区商务局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职权依据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【法规】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商务部令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2007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年第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号发布的《洗染业管理办法》</w:t>
            </w: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第十二条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经营者在经营过程中应遵循诚实信用原则，对消费者提出或询问的有关问题，做出真实明确的答复，不得欺骗和误导消费者，不得从事下列欺诈行为：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（一）虚假宣传；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（二）利用储值卡进行消费欺诈；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（三）以“水洗”、“单烫”冒充干洗等欺骗行为；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（四）故意掩饰在加工过程中使衣物损伤的事实；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（五）其他违反法律、行政法规的欺诈行为。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</w:t>
            </w: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第二十二条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经营者违反本办法规定，法律法规有规定的，从其规定；没有规定的，由商务、工商、环保部门依据本办法第三条规定的职能责令改正，有违法所得的，可处违法所得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倍以下罚款，但最高不超过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万元；没有违法所得的，可处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万元以下罚款；并可予以公告。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违法违规行为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洗染经营者违规经营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处罚种类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给予责令改正。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罚款。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细化量化自由裁量权标准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shd w:val="clear" w:color="auto" w:fill="FFFFFF"/>
              <w:spacing w:line="280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一、违法情节轻微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违法情形：</w:t>
            </w:r>
            <w:r>
              <w:rPr>
                <w:rStyle w:val="4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逾期</w:t>
            </w:r>
            <w:r>
              <w:rPr>
                <w:rStyle w:val="4"/>
                <w:rFonts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3</w:t>
            </w:r>
            <w:r>
              <w:rPr>
                <w:rStyle w:val="4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天以上</w:t>
            </w:r>
            <w:r>
              <w:rPr>
                <w:rStyle w:val="4"/>
                <w:rFonts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7</w:t>
            </w:r>
            <w:r>
              <w:rPr>
                <w:rStyle w:val="4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天以内不改正的，先进行教育，并给予警告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处罚标准：</w:t>
            </w:r>
            <w:r>
              <w:rPr>
                <w:rStyle w:val="4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经过教育后改正的，不予处罚；未改正的，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由所在的市级或县级商务主管部门责令</w:t>
            </w:r>
            <w:r>
              <w:rPr>
                <w:rStyle w:val="4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下达《限期改正通知书》</w:t>
            </w:r>
            <w:r>
              <w:rPr>
                <w:rStyle w:val="4"/>
                <w:rFonts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1000</w:t>
            </w:r>
            <w:r>
              <w:rPr>
                <w:rStyle w:val="4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元罚款；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二、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由违法情节一般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违法情形：</w:t>
            </w:r>
            <w:r>
              <w:rPr>
                <w:rStyle w:val="4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逾期</w:t>
            </w:r>
            <w:r>
              <w:rPr>
                <w:rStyle w:val="4"/>
                <w:rFonts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7</w:t>
            </w:r>
            <w:r>
              <w:rPr>
                <w:rStyle w:val="4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天（含）以上</w:t>
            </w:r>
            <w:r>
              <w:rPr>
                <w:rStyle w:val="4"/>
                <w:rFonts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10</w:t>
            </w:r>
            <w:r>
              <w:rPr>
                <w:rStyle w:val="4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天内不改正的。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处罚标准：由所在的市级或县级商务主管部门</w:t>
            </w:r>
            <w:r>
              <w:rPr>
                <w:rStyle w:val="4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处以</w:t>
            </w:r>
            <w:r>
              <w:rPr>
                <w:rStyle w:val="4"/>
                <w:rFonts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3000</w:t>
            </w:r>
            <w:r>
              <w:rPr>
                <w:rStyle w:val="4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元罚款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三、违反情节严重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违法情形：</w:t>
            </w:r>
            <w:r>
              <w:rPr>
                <w:rStyle w:val="4"/>
                <w:rFonts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10</w:t>
            </w:r>
            <w:r>
              <w:rPr>
                <w:rStyle w:val="4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天（含）以上不改正的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。处罚标准：由所在的市级或县级商务主管部门</w:t>
            </w:r>
            <w:r>
              <w:rPr>
                <w:rStyle w:val="4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处以</w:t>
            </w:r>
            <w:r>
              <w:rPr>
                <w:rStyle w:val="4"/>
                <w:rFonts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30000</w:t>
            </w:r>
            <w:r>
              <w:rPr>
                <w:rStyle w:val="4"/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元罚款，并向社会公告。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职权运行流程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立案→调查取证→审查→告知→决定→送达→执行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4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责任事项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立案责任：通过举报、巡查，发现洗染经营者违规经营行为予以审查，决定是否立案。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调查取证责任：商务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决定责任：作出处罚决定，制作行政处罚决定书，载明行政处罚告知、当事人陈述申辩或者听证情况等内容。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送达责任：将违反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洗染业管理办法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的行政处罚决定书送达当事人或单位。</w:t>
            </w: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执行责任：依照生效的行政处罚决定，自觉履行或强制执行。</w:t>
            </w:r>
          </w:p>
          <w:p>
            <w:pPr>
              <w:widowControl/>
              <w:spacing w:line="27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监管责任：对违反《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洗染业管理办法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》规定的处罚和监督检查。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9.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其他法律法规规章文件规定应履行的其他责任。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7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9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责任事项依据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spacing w:line="27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《行政处罚法》（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2009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日修订）第三十九条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行政机关依照本法第三十八条的规定给予行政处罚，应当制作行政处罚决定书。</w:t>
            </w:r>
          </w:p>
          <w:p>
            <w:pPr>
              <w:widowControl/>
              <w:spacing w:line="27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《商务执法行政处罚办法》第二十六条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审理结束后，商务主管部门根据不同情况，分别作出下列决定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当事人未在规定时间内陈述、申辩或者要求听证的，以及陈述、申辩或者听证中提出的事实、理由或者证据不成立的，商务主管部门应当依法制作《行政处罚决定书》，并按照法律规定的方式，送达当事人。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《行政处罚法》（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2009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日修订）第四十条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行政处罚决定书应当在宣告后当场交付当事人；当事人不在场的，行政机关应当在七日内依照民事诉讼法的有关规定，将行政处罚决定书送达当事人。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《行政处罚法》（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2009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日修订）第四十四条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行政处罚决定依法作出后，县级以上人民政府商务行政主管部门对违反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《洗染业管理办法》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行为的个人及单位进行监督检查。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5.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商务行政主管部门在监督检查中应当履行下列职责：（一）对商务管理法律法规的执行情况进行监督检查；（二）查处商务违法案件；（三）对属于政府有关部门、司法机关查处的商务执法类违法案件，依照有关规定移送相关资料，配合作好查处工作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;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（四）法律法规规定的其他职责。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98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职责边界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职责分工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市级：商务主管部门负责辖区内负责对违反《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洗染业管理办法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》规定的个人及单位进行处罚、构成犯罪的依法追究刑事责任。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line="36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县级：商务主管部门负责辖区内负责对违反《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洗染业管理办法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》规定的个人及单位进行处罚、构成犯罪的依法追究刑事责任。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乡镇（街道）级：无。</w:t>
            </w:r>
          </w:p>
          <w:p>
            <w:pPr>
              <w:widowControl/>
              <w:numPr>
                <w:numId w:val="0"/>
              </w:numPr>
              <w:shd w:val="clear" w:color="auto" w:fill="FFFFFF"/>
              <w:spacing w:line="36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二、相关依据：【法规】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商务部令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2007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年第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号发布的《洗染业管理办法》</w:t>
            </w: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第十二条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经营者在经营过程中应遵循诚实信用原则，对消费者提出或询问的有关问题，做出真实明确的答复，不得欺骗和误导消费者，不得从事下列欺诈行为：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（一）虚假宣传；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（二）利用储值卡进行消费欺诈；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（三）以“水洗”、“单烫”冒充干洗等欺骗行为；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（四）故意掩饰在加工过程中使衣物损伤的事实；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（五）其他违反法律、行政法规的欺诈行为。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</w:t>
            </w: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第二十二条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经营者违反本办法规定，法律法规有规定的，从其规定；没有规定的，由商务、工商、环保部门依据本办法第三条规定的职能责令改正，有违法所得的，可处违法所得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倍以下罚款，但最高不超过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万元；没有违法所得的，可处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万元以下罚款；并可予以公告。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承办机构</w:t>
            </w:r>
          </w:p>
        </w:tc>
        <w:tc>
          <w:tcPr>
            <w:tcW w:w="686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西塞山区商务局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咨询方式</w:t>
            </w:r>
          </w:p>
        </w:tc>
        <w:tc>
          <w:tcPr>
            <w:tcW w:w="686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333333"/>
                <w:sz w:val="24"/>
                <w:szCs w:val="24"/>
                <w:shd w:val="clear" w:color="auto" w:fill="FFFFFF"/>
              </w:rPr>
              <w:t>联系电话</w:t>
            </w:r>
            <w:r>
              <w:rPr>
                <w:rFonts w:hint="eastAsia" w:ascii="仿宋_GB2312" w:hAnsi="宋体" w:eastAsia="仿宋_GB2312" w:cs="仿宋_GB2312"/>
                <w:color w:val="333333"/>
                <w:sz w:val="24"/>
                <w:szCs w:val="24"/>
                <w:shd w:val="clear" w:color="auto" w:fill="FFFFFF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0714—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6482633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   地址：黄石市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飞云路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监督投诉方式</w:t>
            </w:r>
          </w:p>
        </w:tc>
        <w:tc>
          <w:tcPr>
            <w:tcW w:w="686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商务投诉举报热线：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6482633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。地址：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黄石市飞云路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审核意见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（由审改办统一填写）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备注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　</w:t>
            </w:r>
          </w:p>
        </w:tc>
      </w:tr>
    </w:tbl>
    <w:p>
      <w:pPr>
        <w:spacing w:line="360" w:lineRule="exact"/>
        <w:ind w:firstLine="31680" w:firstLineChars="200"/>
      </w:pPr>
      <w:r>
        <w:rPr>
          <w:rFonts w:hint="eastAsia" w:ascii="仿宋_GB2312" w:hAnsi="仿宋_GB2312" w:eastAsia="仿宋_GB2312" w:cs="仿宋_GB2312"/>
          <w:szCs w:val="21"/>
        </w:rPr>
        <w:t>注：</w:t>
      </w:r>
      <w:r>
        <w:rPr>
          <w:rFonts w:ascii="仿宋_GB2312" w:hAnsi="仿宋_GB2312" w:eastAsia="仿宋_GB2312" w:cs="仿宋_GB2312"/>
          <w:szCs w:val="21"/>
        </w:rPr>
        <w:t>1.</w:t>
      </w:r>
      <w:r>
        <w:rPr>
          <w:rFonts w:hint="eastAsia" w:ascii="仿宋_GB2312" w:hAnsi="仿宋_GB2312" w:eastAsia="仿宋_GB2312" w:cs="仿宋_GB2312"/>
          <w:szCs w:val="21"/>
        </w:rPr>
        <w:t>表格要素原则上为必填项，确无对应内容则填报“无”；</w:t>
      </w:r>
      <w:r>
        <w:rPr>
          <w:rFonts w:ascii="仿宋_GB2312" w:hAnsi="仿宋_GB2312" w:eastAsia="仿宋_GB2312" w:cs="仿宋_GB2312"/>
          <w:szCs w:val="21"/>
        </w:rPr>
        <w:t>2.</w:t>
      </w:r>
      <w:r>
        <w:rPr>
          <w:rFonts w:hint="eastAsia" w:ascii="仿宋_GB2312" w:hAnsi="仿宋_GB2312" w:eastAsia="仿宋_GB2312" w:cs="仿宋_GB2312"/>
          <w:szCs w:val="21"/>
        </w:rPr>
        <w:t>填报内容使用</w:t>
      </w:r>
      <w:r>
        <w:rPr>
          <w:rFonts w:ascii="仿宋_GB2312" w:hAnsi="仿宋_GB2312" w:eastAsia="仿宋_GB2312" w:cs="仿宋_GB2312"/>
          <w:szCs w:val="21"/>
        </w:rPr>
        <w:t>12</w:t>
      </w:r>
      <w:r>
        <w:rPr>
          <w:rFonts w:hint="eastAsia" w:ascii="仿宋_GB2312" w:hAnsi="仿宋_GB2312" w:eastAsia="仿宋_GB2312" w:cs="仿宋_GB2312"/>
          <w:szCs w:val="21"/>
        </w:rPr>
        <w:t>号仿宋字体；</w:t>
      </w:r>
      <w:r>
        <w:rPr>
          <w:rFonts w:ascii="仿宋_GB2312" w:hAnsi="仿宋_GB2312" w:eastAsia="仿宋_GB2312" w:cs="仿宋_GB2312"/>
          <w:szCs w:val="21"/>
        </w:rPr>
        <w:t>3.</w:t>
      </w:r>
      <w:r>
        <w:rPr>
          <w:rFonts w:hint="eastAsia" w:ascii="仿宋_GB2312" w:hAnsi="仿宋_GB2312" w:eastAsia="仿宋_GB2312" w:cs="仿宋_GB2312"/>
          <w:szCs w:val="21"/>
        </w:rPr>
        <w:t>其他填报要求详见附件</w:t>
      </w:r>
      <w:r>
        <w:rPr>
          <w:rFonts w:ascii="仿宋_GB2312" w:hAnsi="仿宋_GB2312" w:eastAsia="仿宋_GB2312" w:cs="仿宋_GB2312"/>
          <w:szCs w:val="21"/>
        </w:rPr>
        <w:t>9</w:t>
      </w:r>
      <w:r>
        <w:rPr>
          <w:rFonts w:hint="eastAsia" w:ascii="仿宋_GB2312" w:hAnsi="仿宋_GB2312" w:eastAsia="仿宋_GB2312" w:cs="仿宋_GB2312"/>
          <w:szCs w:val="21"/>
        </w:rPr>
        <w:t>。</w:t>
      </w: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22FE"/>
    <w:multiLevelType w:val="singleLevel"/>
    <w:tmpl w:val="574522F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45230F"/>
    <w:multiLevelType w:val="singleLevel"/>
    <w:tmpl w:val="5745230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6557E"/>
    <w:rsid w:val="000746B9"/>
    <w:rsid w:val="001302EB"/>
    <w:rsid w:val="003351B8"/>
    <w:rsid w:val="004925EA"/>
    <w:rsid w:val="006A05D5"/>
    <w:rsid w:val="008F4144"/>
    <w:rsid w:val="0096643D"/>
    <w:rsid w:val="00A449A1"/>
    <w:rsid w:val="00BD4225"/>
    <w:rsid w:val="00D07083"/>
    <w:rsid w:val="00D30A7E"/>
    <w:rsid w:val="00DC7D6E"/>
    <w:rsid w:val="00FB0C18"/>
    <w:rsid w:val="01D6557E"/>
    <w:rsid w:val="03DD7B64"/>
    <w:rsid w:val="1EC04F80"/>
    <w:rsid w:val="27B06C3A"/>
    <w:rsid w:val="33BC2340"/>
    <w:rsid w:val="448E352C"/>
    <w:rsid w:val="470D4730"/>
    <w:rsid w:val="48094297"/>
    <w:rsid w:val="52AE6FA1"/>
    <w:rsid w:val="625051B0"/>
    <w:rsid w:val="6867192F"/>
    <w:rsid w:val="7C105F08"/>
    <w:rsid w:val="7E8E3163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99" w:semiHidden="0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99"/>
    <w:rPr>
      <w:rFonts w:cs="Times New Roman"/>
      <w:b/>
      <w:bCs/>
    </w:rPr>
  </w:style>
  <w:style w:type="character" w:styleId="4">
    <w:name w:val="HTML Typewriter"/>
    <w:basedOn w:val="2"/>
    <w:qFormat/>
    <w:uiPriority w:val="99"/>
    <w:rPr>
      <w:rFonts w:ascii="Courier New" w:hAnsi="Courier New" w:cs="Times New Roman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398</Words>
  <Characters>2270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2016-01-29T08:23:00Z</dcterms:created>
  <dc:creator>Administrator</dc:creator>
  <cp:lastModifiedBy>Administrator</cp:lastModifiedBy>
  <cp:lastPrinted>2016-03-15T08:16:00Z</cp:lastPrinted>
  <dcterms:modified xsi:type="dcterms:W3CDTF">2016-05-25T03:03:43Z</dcterms:modified>
  <dc:title>行政职权基本信息表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