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tblInd w:w="362" w:type="dxa"/>
        <w:tblLook w:val="00A0"/>
      </w:tblPr>
      <w:tblGrid>
        <w:gridCol w:w="180"/>
        <w:gridCol w:w="2080"/>
        <w:gridCol w:w="4760"/>
        <w:gridCol w:w="180"/>
      </w:tblGrid>
      <w:tr w:rsidR="003F3AFE" w:rsidRPr="000257C7" w:rsidTr="00D1076B">
        <w:trPr>
          <w:gridBefore w:val="1"/>
          <w:wBefore w:w="180" w:type="dxa"/>
          <w:trHeight w:val="510"/>
        </w:trPr>
        <w:tc>
          <w:tcPr>
            <w:tcW w:w="7020" w:type="dxa"/>
            <w:gridSpan w:val="3"/>
            <w:tcBorders>
              <w:top w:val="nil"/>
              <w:left w:val="nil"/>
              <w:bottom w:val="nil"/>
              <w:right w:val="nil"/>
            </w:tcBorders>
            <w:vAlign w:val="center"/>
          </w:tcPr>
          <w:p w:rsidR="003F3AFE" w:rsidRPr="003212F2" w:rsidRDefault="003F3AFE" w:rsidP="003212F2">
            <w:pPr>
              <w:widowControl/>
              <w:jc w:val="center"/>
              <w:rPr>
                <w:rFonts w:ascii="黑体" w:eastAsia="黑体" w:hAnsi="黑体" w:cs="Times New Roman"/>
                <w:kern w:val="0"/>
                <w:sz w:val="40"/>
                <w:szCs w:val="40"/>
              </w:rPr>
            </w:pPr>
            <w:r w:rsidRPr="003212F2">
              <w:rPr>
                <w:rFonts w:ascii="黑体" w:eastAsia="黑体" w:hAnsi="黑体" w:cs="黑体" w:hint="eastAsia"/>
                <w:kern w:val="0"/>
                <w:sz w:val="40"/>
                <w:szCs w:val="40"/>
              </w:rPr>
              <w:t>行政职权基本信息表</w:t>
            </w:r>
          </w:p>
        </w:tc>
      </w:tr>
      <w:tr w:rsidR="003F3AFE" w:rsidRPr="000257C7" w:rsidTr="00D1076B">
        <w:trPr>
          <w:gridAfter w:val="1"/>
          <w:wAfter w:w="180" w:type="dxa"/>
          <w:trHeight w:val="405"/>
        </w:trPr>
        <w:tc>
          <w:tcPr>
            <w:tcW w:w="7020" w:type="dxa"/>
            <w:gridSpan w:val="3"/>
            <w:tcBorders>
              <w:top w:val="nil"/>
              <w:left w:val="nil"/>
              <w:bottom w:val="nil"/>
              <w:right w:val="nil"/>
            </w:tcBorders>
            <w:vAlign w:val="center"/>
          </w:tcPr>
          <w:p w:rsidR="003F3AFE" w:rsidRPr="003212F2" w:rsidRDefault="003F3AFE" w:rsidP="003212F2">
            <w:pPr>
              <w:widowControl/>
              <w:jc w:val="center"/>
              <w:rPr>
                <w:rFonts w:ascii="黑体" w:eastAsia="黑体" w:hAnsi="黑体" w:cs="Times New Roman"/>
                <w:kern w:val="0"/>
                <w:sz w:val="32"/>
                <w:szCs w:val="32"/>
              </w:rPr>
            </w:pPr>
            <w:r w:rsidRPr="003212F2">
              <w:rPr>
                <w:rFonts w:ascii="黑体" w:eastAsia="黑体" w:hAnsi="黑体" w:cs="黑体" w:hint="eastAsia"/>
                <w:kern w:val="0"/>
                <w:sz w:val="32"/>
                <w:szCs w:val="32"/>
              </w:rPr>
              <w:t>（其他类）</w:t>
            </w:r>
          </w:p>
        </w:tc>
      </w:tr>
      <w:tr w:rsidR="003F3AFE" w:rsidRPr="000257C7" w:rsidTr="007F2F0F">
        <w:trPr>
          <w:gridAfter w:val="1"/>
          <w:wAfter w:w="180" w:type="dxa"/>
          <w:trHeight w:val="285"/>
        </w:trPr>
        <w:tc>
          <w:tcPr>
            <w:tcW w:w="7020" w:type="dxa"/>
            <w:gridSpan w:val="3"/>
            <w:tcBorders>
              <w:top w:val="nil"/>
              <w:left w:val="nil"/>
              <w:bottom w:val="single" w:sz="4" w:space="0" w:color="auto"/>
              <w:right w:val="nil"/>
            </w:tcBorders>
            <w:vAlign w:val="center"/>
          </w:tcPr>
          <w:p w:rsidR="003F3AFE" w:rsidRPr="003212F2" w:rsidRDefault="003F3AFE" w:rsidP="003212F2">
            <w:pPr>
              <w:widowControl/>
              <w:jc w:val="left"/>
              <w:rPr>
                <w:rFonts w:ascii="黑体" w:eastAsia="黑体" w:hAnsi="黑体" w:cs="Times New Roman"/>
                <w:kern w:val="0"/>
                <w:sz w:val="24"/>
                <w:szCs w:val="24"/>
              </w:rPr>
            </w:pPr>
            <w:r w:rsidRPr="003212F2">
              <w:rPr>
                <w:rFonts w:ascii="黑体" w:eastAsia="黑体" w:hAnsi="黑体" w:cs="黑体" w:hint="eastAsia"/>
                <w:kern w:val="0"/>
                <w:sz w:val="24"/>
                <w:szCs w:val="24"/>
              </w:rPr>
              <w:t>填报单位：</w:t>
            </w:r>
            <w:r w:rsidRPr="001250D5">
              <w:rPr>
                <w:rFonts w:ascii="仿宋" w:eastAsia="仿宋" w:hAnsi="仿宋" w:cs="仿宋" w:hint="eastAsia"/>
                <w:kern w:val="0"/>
                <w:sz w:val="32"/>
                <w:szCs w:val="32"/>
              </w:rPr>
              <w:t>西塞山区农林水利局</w:t>
            </w:r>
          </w:p>
        </w:tc>
      </w:tr>
      <w:tr w:rsidR="003F3AFE" w:rsidRPr="00DA2EC4" w:rsidTr="00D1076B">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职权编码</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仿宋" w:hint="eastAsia"/>
                <w:kern w:val="0"/>
                <w:sz w:val="24"/>
                <w:szCs w:val="24"/>
              </w:rPr>
            </w:pPr>
            <w:r w:rsidRPr="00DA2EC4">
              <w:rPr>
                <w:rFonts w:ascii="仿宋_GB2312" w:eastAsia="仿宋_GB2312" w:hAnsi="仿宋" w:cs="宋体" w:hint="eastAsia"/>
                <w:sz w:val="24"/>
                <w:szCs w:val="24"/>
              </w:rPr>
              <w:t>57153172-9-</w:t>
            </w:r>
            <w:r w:rsidRPr="00DA2EC4">
              <w:rPr>
                <w:rFonts w:ascii="仿宋_GB2312" w:eastAsia="仿宋_GB2312" w:hAnsi="仿宋" w:cs="仿宋" w:hint="eastAsia"/>
                <w:color w:val="000000"/>
                <w:sz w:val="24"/>
                <w:szCs w:val="24"/>
              </w:rPr>
              <w:t>QT</w:t>
            </w:r>
            <w:r w:rsidRPr="00DA2EC4">
              <w:rPr>
                <w:rFonts w:ascii="仿宋_GB2312" w:eastAsia="仿宋_GB2312" w:hAnsi="仿宋" w:cs="宋体" w:hint="eastAsia"/>
                <w:sz w:val="24"/>
                <w:szCs w:val="24"/>
              </w:rPr>
              <w:t>-30100</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职权名称</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对农作物种子质量纠纷田间现场鉴定</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子项名称</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无</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职权类型</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仿宋" w:hint="eastAsia"/>
                <w:kern w:val="0"/>
                <w:sz w:val="24"/>
                <w:szCs w:val="24"/>
              </w:rPr>
            </w:pPr>
            <w:r w:rsidRPr="00DA2EC4">
              <w:rPr>
                <w:rFonts w:ascii="仿宋_GB2312" w:eastAsia="仿宋_GB2312" w:hAnsi="仿宋" w:cs="仿宋" w:hint="eastAsia"/>
                <w:kern w:val="0"/>
                <w:sz w:val="24"/>
                <w:szCs w:val="24"/>
              </w:rPr>
              <w:t xml:space="preserve">□行政备案 □行政服务 □行政征用 □审核转报 □√其他 </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行使主体</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西塞山区农林水利局</w:t>
            </w:r>
          </w:p>
        </w:tc>
      </w:tr>
      <w:tr w:rsidR="003F3AFE" w:rsidRPr="00DA2EC4" w:rsidTr="007F2F0F">
        <w:trPr>
          <w:gridAfter w:val="1"/>
          <w:wAfter w:w="180" w:type="dxa"/>
          <w:trHeight w:val="142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职权依据</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【规章】《农作物种子质量纠纷田间现场鉴定办法》（2003年7月8日中华人民共和国农业部令第28号，自2003年8月1日起施行）</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第三条  现场鉴定由田间现场所在地县级以上地方人民政府农业行政主管部门所属的种子管理机构组织实施。</w:t>
            </w:r>
          </w:p>
        </w:tc>
      </w:tr>
      <w:tr w:rsidR="003F3AFE" w:rsidRPr="00DA2EC4" w:rsidTr="007F2F0F">
        <w:trPr>
          <w:gridAfter w:val="1"/>
          <w:wAfter w:w="180" w:type="dxa"/>
          <w:trHeight w:val="142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受理范围及条件</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农作物种子在大田种植后，因种子质量或者栽培、气候等原因，导致田间出苗、植株生长、作物产量、产品品质等受到影响，双方当事人对造成事故的原因或损失程度存在分歧，为确定事故原因或（和）损失程度，可以进行田间现场技术鉴定活动。</w:t>
            </w:r>
          </w:p>
        </w:tc>
      </w:tr>
      <w:tr w:rsidR="003F3AFE" w:rsidRPr="00DA2EC4" w:rsidTr="007F2F0F">
        <w:trPr>
          <w:gridAfter w:val="1"/>
          <w:wAfter w:w="180" w:type="dxa"/>
          <w:trHeight w:val="1140"/>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需提交的材料</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种子质量纠纷当事人可以共同申请现场鉴定，也可以单独申请现场鉴定。鉴定申请一般以书面形式提出，说明鉴定的内容和理由，并提供相关材料。口头提出鉴定申请的，种子管理机构应当制作笔录，并请申请人签字确认。</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法定期限</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20个工作日</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承诺期限</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10个工作日</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特别程序及期限</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无</w:t>
            </w:r>
          </w:p>
        </w:tc>
      </w:tr>
      <w:tr w:rsidR="003F3AFE" w:rsidRPr="00DA2EC4" w:rsidTr="007F2F0F">
        <w:trPr>
          <w:gridAfter w:val="1"/>
          <w:wAfter w:w="180" w:type="dxa"/>
          <w:trHeight w:val="570"/>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收费依据及标准</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依据农作物种子质量纠纷田间现场鉴定办法第五条，收费标准由鉴定专家组根据实际鉴定项目而定。</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职权运行流程</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申请→受理→审查→决定</w:t>
            </w:r>
          </w:p>
        </w:tc>
      </w:tr>
      <w:tr w:rsidR="003F3AFE" w:rsidRPr="00DA2EC4" w:rsidTr="007F2F0F">
        <w:trPr>
          <w:gridAfter w:val="1"/>
          <w:wAfter w:w="180" w:type="dxa"/>
          <w:trHeight w:val="48"/>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责任事项</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仿宋" w:hint="eastAsia"/>
                <w:kern w:val="0"/>
                <w:sz w:val="24"/>
                <w:szCs w:val="24"/>
              </w:rPr>
            </w:pPr>
            <w:r w:rsidRPr="00DA2EC4">
              <w:rPr>
                <w:rFonts w:ascii="仿宋_GB2312" w:eastAsia="仿宋_GB2312" w:hAnsi="仿宋" w:cs="仿宋" w:hint="eastAsia"/>
                <w:kern w:val="0"/>
                <w:sz w:val="24"/>
                <w:szCs w:val="24"/>
              </w:rPr>
              <w:t>1.告知责任：制定检查计划和实施方案，按照方案实施监督检查，并以通知的型式告知检查内容。</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2.检查责任：严格执行现有规范规章制度。</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3.处理责任：检查完毕后，依法下发整改通知书或对违法行为实施立案查处，并制作监</w:t>
            </w:r>
            <w:r w:rsidRPr="00DA2EC4">
              <w:rPr>
                <w:rFonts w:ascii="仿宋_GB2312" w:eastAsia="仿宋_GB2312" w:hAnsi="仿宋" w:cs="仿宋" w:hint="eastAsia"/>
                <w:kern w:val="0"/>
                <w:sz w:val="24"/>
                <w:szCs w:val="24"/>
              </w:rPr>
              <w:lastRenderedPageBreak/>
              <w:t>管档案。</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4.监管责任：监管人员要依法履行监管责任，不严格履职的依法追究相关责任。</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 xml:space="preserve">5.其他法律法规规章文件规定应履行的责任。 </w:t>
            </w:r>
          </w:p>
        </w:tc>
      </w:tr>
      <w:tr w:rsidR="003F3AFE" w:rsidRPr="00DA2EC4" w:rsidTr="007F2F0F">
        <w:trPr>
          <w:gridAfter w:val="1"/>
          <w:wAfter w:w="180" w:type="dxa"/>
          <w:trHeight w:val="3990"/>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lastRenderedPageBreak/>
              <w:t>责任事项依据</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【法律】1.《行政许可法》第三十条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2、《种子法》第七十条农业、林业主管部门不依法</w:t>
            </w:r>
            <w:proofErr w:type="gramStart"/>
            <w:r w:rsidRPr="00DA2EC4">
              <w:rPr>
                <w:rFonts w:ascii="仿宋_GB2312" w:eastAsia="仿宋_GB2312" w:hAnsi="仿宋" w:cs="仿宋" w:hint="eastAsia"/>
                <w:kern w:val="0"/>
                <w:sz w:val="24"/>
                <w:szCs w:val="24"/>
              </w:rPr>
              <w:t>作出</w:t>
            </w:r>
            <w:proofErr w:type="gramEnd"/>
            <w:r w:rsidRPr="00DA2EC4">
              <w:rPr>
                <w:rFonts w:ascii="仿宋_GB2312" w:eastAsia="仿宋_GB2312" w:hAnsi="仿宋" w:cs="仿宋" w:hint="eastAsia"/>
                <w:kern w:val="0"/>
                <w:sz w:val="24"/>
                <w:szCs w:val="24"/>
              </w:rPr>
              <w:t>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违反本法第五十六条规定，农业、林业主管部门工作人员从事种子生产经营活动的，依法给予处分。</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【行政法规】《行政机关公务员处分条例》第六条、第七条</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【行政法规】《事业单位人事管理条例》第二十八条、第二十九条【党内法规】《中国共产党纪律处分条例》第九条、第十条</w:t>
            </w:r>
          </w:p>
        </w:tc>
      </w:tr>
      <w:tr w:rsidR="003F3AFE" w:rsidRPr="00DA2EC4" w:rsidTr="007F2F0F">
        <w:trPr>
          <w:gridAfter w:val="1"/>
          <w:wAfter w:w="180" w:type="dxa"/>
          <w:trHeight w:val="2280"/>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职责边界</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一、责任分工</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 xml:space="preserve">   1. 县级：负责本辖区工作</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 xml:space="preserve">   2. 镇（乡）：无。   二、相关依据《农作物种子质量纠纷田间现场鉴定办法》（2003年7月8日中华人民共和国农业部令第28号，自2003年8月1日起施行）</w:t>
            </w:r>
            <w:r w:rsidRPr="00DA2EC4">
              <w:rPr>
                <w:rFonts w:ascii="仿宋_GB2312" w:eastAsia="仿宋_GB2312" w:hAnsi="仿宋" w:cs="Times New Roman" w:hint="eastAsia"/>
                <w:kern w:val="0"/>
                <w:sz w:val="24"/>
                <w:szCs w:val="24"/>
              </w:rPr>
              <w:br/>
            </w:r>
            <w:r w:rsidRPr="00DA2EC4">
              <w:rPr>
                <w:rFonts w:ascii="仿宋_GB2312" w:eastAsia="仿宋_GB2312" w:hAnsi="仿宋" w:cs="仿宋" w:hint="eastAsia"/>
                <w:kern w:val="0"/>
                <w:sz w:val="24"/>
                <w:szCs w:val="24"/>
              </w:rPr>
              <w:t>第三条  现场鉴定由田间现场所在地县级以上地方人民政府农业行政主管部门所属的种子管理机构组织实施。</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承办机构</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西塞山区农林水利局</w:t>
            </w:r>
          </w:p>
        </w:tc>
      </w:tr>
      <w:tr w:rsidR="003F3AFE" w:rsidRPr="00DA2EC4" w:rsidTr="007F2F0F">
        <w:trPr>
          <w:gridAfter w:val="1"/>
          <w:wAfter w:w="180" w:type="dxa"/>
          <w:trHeight w:val="570"/>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咨询方式</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电话：0714-6482289市种子管理局</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监督投诉方式</w:t>
            </w:r>
          </w:p>
        </w:tc>
        <w:tc>
          <w:tcPr>
            <w:tcW w:w="4760" w:type="dxa"/>
            <w:tcBorders>
              <w:top w:val="single" w:sz="4" w:space="0" w:color="auto"/>
              <w:left w:val="nil"/>
              <w:bottom w:val="single" w:sz="4" w:space="0" w:color="auto"/>
              <w:right w:val="single" w:sz="4" w:space="0" w:color="auto"/>
            </w:tcBorders>
          </w:tcPr>
          <w:p w:rsidR="003F3AFE" w:rsidRPr="00DA2EC4" w:rsidRDefault="003F3AFE" w:rsidP="008F6CFB">
            <w:pPr>
              <w:widowControl/>
              <w:spacing w:line="360" w:lineRule="exact"/>
              <w:rPr>
                <w:rFonts w:ascii="仿宋_GB2312" w:eastAsia="仿宋_GB2312" w:hAnsi="仿宋" w:hint="eastAsia"/>
                <w:color w:val="333333"/>
                <w:sz w:val="24"/>
                <w:szCs w:val="24"/>
              </w:rPr>
            </w:pPr>
            <w:r w:rsidRPr="00DA2EC4">
              <w:rPr>
                <w:rFonts w:ascii="仿宋_GB2312" w:eastAsia="仿宋_GB2312" w:hAnsi="仿宋" w:hint="eastAsia"/>
                <w:color w:val="333333"/>
                <w:sz w:val="24"/>
                <w:szCs w:val="24"/>
              </w:rPr>
              <w:t>地址：西塞山区农林水利局 电话：0714-6482862</w:t>
            </w:r>
          </w:p>
          <w:p w:rsidR="003F3AFE" w:rsidRPr="00DA2EC4" w:rsidRDefault="003F3AFE" w:rsidP="008F6CFB">
            <w:pPr>
              <w:autoSpaceDE w:val="0"/>
              <w:autoSpaceDN w:val="0"/>
              <w:adjustRightInd w:val="0"/>
              <w:jc w:val="left"/>
              <w:rPr>
                <w:rFonts w:ascii="仿宋_GB2312" w:eastAsia="仿宋_GB2312" w:cs="仿宋" w:hint="eastAsia"/>
                <w:color w:val="000000"/>
                <w:kern w:val="0"/>
                <w:sz w:val="24"/>
                <w:szCs w:val="24"/>
              </w:rPr>
            </w:pPr>
            <w:r w:rsidRPr="00DA2EC4">
              <w:rPr>
                <w:rFonts w:ascii="仿宋_GB2312" w:eastAsia="仿宋_GB2312" w:hAnsi="仿宋" w:hint="eastAsia"/>
                <w:color w:val="333333"/>
                <w:sz w:val="24"/>
                <w:szCs w:val="24"/>
              </w:rPr>
              <w:t>邮编：435000      邮箱：xssnlj@163.com</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审核意见</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（由</w:t>
            </w:r>
            <w:proofErr w:type="gramStart"/>
            <w:r w:rsidRPr="00DA2EC4">
              <w:rPr>
                <w:rFonts w:ascii="仿宋_GB2312" w:eastAsia="仿宋_GB2312" w:hAnsi="仿宋" w:cs="仿宋" w:hint="eastAsia"/>
                <w:kern w:val="0"/>
                <w:sz w:val="24"/>
                <w:szCs w:val="24"/>
              </w:rPr>
              <w:t>审改办</w:t>
            </w:r>
            <w:proofErr w:type="gramEnd"/>
            <w:r w:rsidRPr="00DA2EC4">
              <w:rPr>
                <w:rFonts w:ascii="仿宋_GB2312" w:eastAsia="仿宋_GB2312" w:hAnsi="仿宋" w:cs="仿宋" w:hint="eastAsia"/>
                <w:kern w:val="0"/>
                <w:sz w:val="24"/>
                <w:szCs w:val="24"/>
              </w:rPr>
              <w:t>统一填写）</w:t>
            </w:r>
          </w:p>
        </w:tc>
      </w:tr>
      <w:tr w:rsidR="003F3AFE" w:rsidRPr="00DA2EC4" w:rsidTr="007F2F0F">
        <w:trPr>
          <w:gridAfter w:val="1"/>
          <w:wAfter w:w="180" w:type="dxa"/>
          <w:trHeight w:val="285"/>
        </w:trPr>
        <w:tc>
          <w:tcPr>
            <w:tcW w:w="2260" w:type="dxa"/>
            <w:gridSpan w:val="2"/>
            <w:tcBorders>
              <w:top w:val="single" w:sz="4" w:space="0" w:color="auto"/>
              <w:left w:val="single" w:sz="4" w:space="0" w:color="auto"/>
              <w:bottom w:val="single" w:sz="4" w:space="0" w:color="auto"/>
              <w:right w:val="single" w:sz="4" w:space="0" w:color="auto"/>
            </w:tcBorders>
            <w:vAlign w:val="center"/>
          </w:tcPr>
          <w:p w:rsidR="003F3AFE" w:rsidRPr="00DA2EC4" w:rsidRDefault="003F3AFE" w:rsidP="003212F2">
            <w:pPr>
              <w:widowControl/>
              <w:jc w:val="center"/>
              <w:rPr>
                <w:rFonts w:ascii="仿宋_GB2312" w:eastAsia="仿宋_GB2312" w:hAnsi="仿宋" w:cs="Times New Roman" w:hint="eastAsia"/>
                <w:b/>
                <w:bCs/>
                <w:kern w:val="0"/>
                <w:sz w:val="24"/>
                <w:szCs w:val="24"/>
              </w:rPr>
            </w:pPr>
            <w:r w:rsidRPr="00DA2EC4">
              <w:rPr>
                <w:rFonts w:ascii="仿宋_GB2312" w:eastAsia="仿宋_GB2312" w:hAnsi="仿宋" w:cs="仿宋" w:hint="eastAsia"/>
                <w:b/>
                <w:bCs/>
                <w:kern w:val="0"/>
                <w:sz w:val="24"/>
                <w:szCs w:val="24"/>
              </w:rPr>
              <w:t>备注</w:t>
            </w:r>
          </w:p>
        </w:tc>
        <w:tc>
          <w:tcPr>
            <w:tcW w:w="4760" w:type="dxa"/>
            <w:tcBorders>
              <w:top w:val="single" w:sz="4" w:space="0" w:color="auto"/>
              <w:left w:val="nil"/>
              <w:bottom w:val="single" w:sz="4" w:space="0" w:color="auto"/>
              <w:right w:val="single" w:sz="4" w:space="0" w:color="auto"/>
            </w:tcBorders>
            <w:vAlign w:val="center"/>
          </w:tcPr>
          <w:p w:rsidR="003F3AFE" w:rsidRPr="00DA2EC4" w:rsidRDefault="003F3AFE" w:rsidP="003212F2">
            <w:pPr>
              <w:widowControl/>
              <w:jc w:val="left"/>
              <w:rPr>
                <w:rFonts w:ascii="仿宋_GB2312" w:eastAsia="仿宋_GB2312" w:hAnsi="仿宋" w:cs="Times New Roman" w:hint="eastAsia"/>
                <w:kern w:val="0"/>
                <w:sz w:val="24"/>
                <w:szCs w:val="24"/>
              </w:rPr>
            </w:pPr>
            <w:r w:rsidRPr="00DA2EC4">
              <w:rPr>
                <w:rFonts w:ascii="仿宋_GB2312" w:eastAsia="仿宋_GB2312" w:hAnsi="仿宋" w:cs="仿宋" w:hint="eastAsia"/>
                <w:kern w:val="0"/>
                <w:sz w:val="24"/>
                <w:szCs w:val="24"/>
              </w:rPr>
              <w:t xml:space="preserve">　</w:t>
            </w:r>
          </w:p>
        </w:tc>
      </w:tr>
    </w:tbl>
    <w:p w:rsidR="003F3AFE" w:rsidRPr="00DA2EC4" w:rsidRDefault="003F3AFE">
      <w:pPr>
        <w:jc w:val="center"/>
        <w:rPr>
          <w:rFonts w:ascii="仿宋_GB2312" w:eastAsia="仿宋_GB2312" w:cs="Times New Roman" w:hint="eastAsia"/>
          <w:sz w:val="24"/>
          <w:szCs w:val="24"/>
        </w:rPr>
      </w:pPr>
    </w:p>
    <w:p w:rsidR="003F3AFE" w:rsidRDefault="003F3AFE">
      <w:pPr>
        <w:jc w:val="center"/>
        <w:rPr>
          <w:rFonts w:cs="Times New Roman"/>
          <w:sz w:val="32"/>
          <w:szCs w:val="32"/>
        </w:rPr>
      </w:pPr>
      <w:r>
        <w:rPr>
          <w:rFonts w:cs="宋体" w:hint="eastAsia"/>
          <w:sz w:val="32"/>
          <w:szCs w:val="32"/>
        </w:rPr>
        <w:t>农作物种子质量纠纷田间现场鉴定流程图</w:t>
      </w:r>
    </w:p>
    <w:p w:rsidR="003F3AFE" w:rsidRDefault="003F3AFE">
      <w:pPr>
        <w:rPr>
          <w:rFonts w:cs="Times New Roman"/>
        </w:rPr>
      </w:pPr>
      <w:r>
        <w:rPr>
          <w:rFonts w:cs="Times New Roman"/>
        </w:rPr>
        <w:t> </w:t>
      </w:r>
    </w:p>
    <w:p w:rsidR="003F3AFE" w:rsidRDefault="00F20840">
      <w:pPr>
        <w:rPr>
          <w:rFonts w:cs="Times New Roman"/>
        </w:rPr>
      </w:pPr>
      <w:r w:rsidRPr="00F20840">
        <w:rPr>
          <w:noProof/>
        </w:rPr>
        <w:pict>
          <v:rect id="_x0000_s1026" style="position:absolute;left:0;text-align:left;margin-left:318.2pt;margin-top:10.95pt;width:29.9pt;height:112.8pt;z-index:9;v-text-anchor:middle" fillcolor="#5b9bd5" strokecolor="#41719c" strokeweight="1pt">
            <v:textbox>
              <w:txbxContent>
                <w:p w:rsidR="003F3AFE" w:rsidRDefault="003F3AFE">
                  <w:pPr>
                    <w:jc w:val="center"/>
                    <w:rPr>
                      <w:rFonts w:cs="Times New Roman"/>
                    </w:rPr>
                  </w:pPr>
                  <w:r>
                    <w:rPr>
                      <w:rFonts w:cs="宋体" w:hint="eastAsia"/>
                    </w:rPr>
                    <w:t>补充材料</w:t>
                  </w:r>
                </w:p>
              </w:txbxContent>
            </v:textbox>
          </v:rect>
        </w:pict>
      </w:r>
      <w:r w:rsidR="003F3AFE">
        <w:rPr>
          <w:rFonts w:cs="Times New Roman"/>
        </w:rPr>
        <w:t> </w:t>
      </w:r>
    </w:p>
    <w:p w:rsidR="003F3AFE" w:rsidRDefault="00F20840">
      <w:pPr>
        <w:rPr>
          <w:rFonts w:cs="Times New Roman"/>
        </w:rPr>
      </w:pPr>
      <w:r w:rsidRPr="00F20840">
        <w:rPr>
          <w:noProof/>
        </w:rPr>
        <w:pict>
          <v:rect id="_x0000_s1027" style="position:absolute;left:0;text-align:left;margin-left:68pt;margin-top:5.95pt;width:32.5pt;height:102.25pt;z-index:6;v-text-anchor:middle" fillcolor="#5b9bd5" strokecolor="#41719c" strokeweight="1pt">
            <v:textbox>
              <w:txbxContent>
                <w:p w:rsidR="003F3AFE" w:rsidRDefault="003F3AFE">
                  <w:pPr>
                    <w:rPr>
                      <w:rFonts w:cs="Times New Roman"/>
                    </w:rPr>
                  </w:pPr>
                  <w:r>
                    <w:rPr>
                      <w:rFonts w:cs="宋体" w:hint="eastAsia"/>
                    </w:rPr>
                    <w:t>告知</w:t>
                  </w:r>
                </w:p>
                <w:p w:rsidR="003F3AFE" w:rsidRDefault="003F3AFE">
                  <w:pPr>
                    <w:rPr>
                      <w:rFonts w:cs="Times New Roman"/>
                    </w:rPr>
                  </w:pPr>
                  <w:r>
                    <w:rPr>
                      <w:rFonts w:cs="宋体" w:hint="eastAsia"/>
                    </w:rPr>
                    <w:t>不予受理</w:t>
                  </w:r>
                </w:p>
              </w:txbxContent>
            </v:textbox>
          </v:rect>
        </w:pict>
      </w:r>
      <w:r w:rsidRPr="00F20840">
        <w:rPr>
          <w:noProof/>
        </w:rPr>
        <w:pict>
          <v:rect id="_x0000_s1028" style="position:absolute;left:0;text-align:left;margin-left:162.9pt;margin-top:.75pt;width:89.55pt;height:41.85pt;z-index:1;v-text-anchor:middle" fillcolor="#5b9bd5" strokecolor="#41719c" strokeweight="1pt">
            <v:textbox>
              <w:txbxContent>
                <w:p w:rsidR="003F3AFE" w:rsidRDefault="003F3AFE">
                  <w:pPr>
                    <w:jc w:val="center"/>
                    <w:rPr>
                      <w:rFonts w:cs="Times New Roman"/>
                    </w:rPr>
                  </w:pPr>
                  <w:r>
                    <w:rPr>
                      <w:rFonts w:cs="宋体" w:hint="eastAsia"/>
                    </w:rPr>
                    <w:t>申请人提出申请</w:t>
                  </w:r>
                </w:p>
              </w:txbxContent>
            </v:textbox>
          </v:rect>
        </w:pict>
      </w:r>
      <w:r w:rsidR="003F3AFE">
        <w:rPr>
          <w:rFonts w:cs="Times New Roman"/>
        </w:rPr>
        <w:t>  </w:t>
      </w:r>
    </w:p>
    <w:p w:rsidR="003F3AFE" w:rsidRDefault="00F20840">
      <w:pPr>
        <w:rPr>
          <w:rFonts w:cs="Times New Roman"/>
        </w:rPr>
      </w:pPr>
      <w:r w:rsidRPr="00F20840">
        <w:rPr>
          <w:noProof/>
        </w:rPr>
        <w:pict>
          <v:shapetype id="_x0000_t32" coordsize="21600,21600" o:spt="32" o:oned="t" path="m,l21600,21600e" filled="f">
            <v:path arrowok="t" fillok="f" o:connecttype="none"/>
            <o:lock v:ext="edit" shapetype="t"/>
          </v:shapetype>
          <v:shape id="_x0000_s1029" type="#_x0000_t32" style="position:absolute;left:0;text-align:left;margin-left:259.1pt;margin-top:8.9pt;width:53.1pt;height:.05pt;flip:x;z-index:10" strokecolor="#5b9bd5" strokeweight=".5pt">
            <v:stroke endarrow="open" joinstyle="miter"/>
          </v:shape>
        </w:pict>
      </w:r>
      <w:r w:rsidRPr="00F20840">
        <w:rPr>
          <w:noProof/>
        </w:rPr>
        <w:pict>
          <v:shape id="_x0000_s1030" type="#_x0000_t32" style="position:absolute;left:0;text-align:left;margin-left:104.45pt;margin-top:12.25pt;width:49.15pt;height:0;z-index:7" strokecolor="#5b9bd5" strokeweight=".5pt">
            <v:stroke endarrow="open" joinstyle="miter"/>
          </v:shape>
        </w:pict>
      </w:r>
      <w:r w:rsidR="003F3AFE">
        <w:rPr>
          <w:rFonts w:cs="Times New Roman"/>
        </w:rPr>
        <w:t> </w:t>
      </w:r>
    </w:p>
    <w:p w:rsidR="003F3AFE" w:rsidRDefault="003F3AFE">
      <w:pPr>
        <w:rPr>
          <w:rFonts w:cs="Times New Roman"/>
        </w:rPr>
      </w:pPr>
      <w:r>
        <w:rPr>
          <w:rFonts w:cs="Times New Roman"/>
        </w:rPr>
        <w:t> </w:t>
      </w:r>
    </w:p>
    <w:p w:rsidR="003F3AFE" w:rsidRDefault="00F20840">
      <w:pPr>
        <w:rPr>
          <w:rFonts w:cs="Times New Roman"/>
        </w:rPr>
      </w:pPr>
      <w:r w:rsidRPr="00F20840">
        <w:rPr>
          <w:noProof/>
        </w:rPr>
        <w:pict>
          <v:shape id="_x0000_s1031" type="#_x0000_t32" style="position:absolute;left:0;text-align:left;margin-left:208pt;margin-top:.95pt;width:0;height:13.3pt;z-index:11" strokecolor="#5b9bd5" strokeweight=".5pt">
            <v:stroke endarrow="open" joinstyle="miter"/>
          </v:shape>
        </w:pict>
      </w:r>
    </w:p>
    <w:p w:rsidR="003F3AFE" w:rsidRDefault="00F20840">
      <w:pPr>
        <w:rPr>
          <w:rFonts w:cs="Times New Roman"/>
        </w:rPr>
      </w:pPr>
      <w:r w:rsidRPr="00F20840">
        <w:rPr>
          <w:noProof/>
        </w:rPr>
        <w:pict>
          <v:rect id="_x0000_s1032" style="position:absolute;left:0;text-align:left;margin-left:163.55pt;margin-top:7.3pt;width:89.6pt;height:37.15pt;z-index:2;v-text-anchor:middle" fillcolor="#5b9bd5" strokecolor="#41719c" strokeweight="1pt">
            <v:textbox>
              <w:txbxContent>
                <w:p w:rsidR="003F3AFE" w:rsidRDefault="003F3AFE">
                  <w:pPr>
                    <w:rPr>
                      <w:rFonts w:cs="Times New Roman"/>
                    </w:rPr>
                  </w:pPr>
                  <w:r>
                    <w:t xml:space="preserve">   </w:t>
                  </w:r>
                  <w:r>
                    <w:rPr>
                      <w:rFonts w:cs="宋体" w:hint="eastAsia"/>
                    </w:rPr>
                    <w:t>受理决定</w:t>
                  </w:r>
                </w:p>
              </w:txbxContent>
            </v:textbox>
          </v:rect>
        </w:pict>
      </w:r>
    </w:p>
    <w:p w:rsidR="003F3AFE" w:rsidRDefault="00F20840">
      <w:pPr>
        <w:rPr>
          <w:rFonts w:cs="Times New Roman"/>
        </w:rPr>
      </w:pPr>
      <w:bookmarkStart w:id="0" w:name="_GoBack"/>
      <w:bookmarkEnd w:id="0"/>
      <w:r w:rsidRPr="00F20840">
        <w:rPr>
          <w:noProof/>
        </w:rPr>
        <w:pict>
          <v:shape id="_x0000_s1033" type="#_x0000_t32" style="position:absolute;left:0;text-align:left;margin-left:257.8pt;margin-top:11.6pt;width:49.75pt;height:0;z-index:8" strokecolor="#5b9bd5" strokeweight=".5pt">
            <v:stroke endarrow="open" joinstyle="miter"/>
          </v:shape>
        </w:pict>
      </w:r>
      <w:r w:rsidRPr="00F20840">
        <w:rPr>
          <w:noProof/>
        </w:rPr>
        <w:pict>
          <v:shape id="_x0000_s1034" type="#_x0000_t32" style="position:absolute;left:0;text-align:left;margin-left:101.8pt;margin-top:10.25pt;width:56.45pt;height:0;flip:x;z-index:5" strokecolor="#5b9bd5" strokeweight=".5pt">
            <v:stroke endarrow="open" joinstyle="miter"/>
          </v:shape>
        </w:pict>
      </w:r>
    </w:p>
    <w:p w:rsidR="003F3AFE" w:rsidRDefault="003F3AFE">
      <w:pPr>
        <w:rPr>
          <w:rFonts w:cs="Times New Roman"/>
        </w:rPr>
      </w:pPr>
    </w:p>
    <w:p w:rsidR="003F3AFE" w:rsidRDefault="00F20840">
      <w:pPr>
        <w:rPr>
          <w:rFonts w:cs="Times New Roman"/>
        </w:rPr>
      </w:pPr>
      <w:r w:rsidRPr="00F20840">
        <w:rPr>
          <w:noProof/>
        </w:rPr>
        <w:pict>
          <v:shape id="_x0000_s1035" type="#_x0000_t32" style="position:absolute;left:0;text-align:left;margin-left:332.15pt;margin-top:2.95pt;width:0;height:23.25pt;flip:y;z-index:18" strokecolor="#5b9bd5" strokeweight=".5pt">
            <v:stroke endarrow="open" joinstyle="miter"/>
          </v:shape>
        </w:pict>
      </w:r>
      <w:r w:rsidRPr="00F20840">
        <w:rPr>
          <w:noProof/>
        </w:rPr>
        <w:pict>
          <v:shape id="_x0000_s1036" type="#_x0000_t32" style="position:absolute;left:0;text-align:left;margin-left:80.6pt;margin-top:5.05pt;width:0;height:19.9pt;flip:y;z-index:16" strokecolor="#5b9bd5" strokeweight=".5pt">
            <v:stroke endarrow="open" joinstyle="miter"/>
          </v:shape>
        </w:pict>
      </w:r>
      <w:r w:rsidRPr="00F20840">
        <w:rPr>
          <w:noProof/>
        </w:rPr>
        <w:pict>
          <v:shape id="_x0000_s1037" type="#_x0000_t32" style="position:absolute;left:0;text-align:left;margin-left:209.35pt;margin-top:1.65pt;width:0;height:19.25pt;z-index:12" strokecolor="#5b9bd5" strokeweight=".5pt">
            <v:stroke endarrow="open" joinstyle="miter"/>
          </v:shape>
        </w:pict>
      </w:r>
    </w:p>
    <w:p w:rsidR="003F3AFE" w:rsidRDefault="00F20840">
      <w:pPr>
        <w:rPr>
          <w:rFonts w:cs="Times New Roman"/>
        </w:rPr>
      </w:pPr>
      <w:r w:rsidRPr="00F20840">
        <w:rPr>
          <w:noProof/>
        </w:rPr>
        <w:pict>
          <v:rect id="_x0000_s1038" style="position:absolute;left:0;text-align:left;margin-left:289pt;margin-top:15.55pt;width:119.4pt;height:283.25pt;z-index:14;v-text-anchor:middle" fillcolor="#5b9bd5" strokecolor="#41719c" strokeweight="1pt">
            <v:textbox>
              <w:txbxContent>
                <w:p w:rsidR="003F3AFE" w:rsidRDefault="003F3AFE">
                  <w:pPr>
                    <w:jc w:val="center"/>
                    <w:rPr>
                      <w:rFonts w:cs="Times New Roman"/>
                    </w:rPr>
                  </w:pPr>
                  <w:r>
                    <w:rPr>
                      <w:rFonts w:cs="宋体" w:hint="eastAsia"/>
                    </w:rPr>
                    <w:t>有异议方申请上一级种子管理机构重新鉴定（再次鉴定只能提起一次）</w:t>
                  </w:r>
                </w:p>
              </w:txbxContent>
            </v:textbox>
          </v:rect>
        </w:pict>
      </w:r>
    </w:p>
    <w:p w:rsidR="003F3AFE" w:rsidRDefault="00F20840">
      <w:pPr>
        <w:rPr>
          <w:rFonts w:cs="Times New Roman"/>
        </w:rPr>
      </w:pPr>
      <w:r w:rsidRPr="00F20840">
        <w:rPr>
          <w:noProof/>
        </w:rPr>
        <w:pict>
          <v:rect id="_x0000_s1039" style="position:absolute;left:0;text-align:left;margin-left:-1.05pt;margin-top:.1pt;width:143.4pt;height:288.05pt;z-index:15;v-text-anchor:middle" fillcolor="#5b9bd5" strokecolor="#41719c" strokeweight="1pt">
            <v:textbox>
              <w:txbxContent>
                <w:p w:rsidR="003F3AFE" w:rsidRDefault="003F3AFE">
                  <w:pPr>
                    <w:rPr>
                      <w:rFonts w:cs="Times New Roman"/>
                    </w:rPr>
                  </w:pPr>
                  <w:r>
                    <w:t>1</w:t>
                  </w:r>
                  <w:r>
                    <w:rPr>
                      <w:rFonts w:cs="宋体" w:hint="eastAsia"/>
                    </w:rPr>
                    <w:t>、针对反映的质量问题，申请鉴定时，需鉴定地块的作物生长期，已错过该作物典型情况表现期，从技术上已无法鉴别所涉及质量纠纷起因的。</w:t>
                  </w:r>
                  <w:r>
                    <w:rPr>
                      <w:rFonts w:cs="Times New Roman"/>
                    </w:rPr>
                    <w:t> </w:t>
                  </w:r>
                  <w:r>
                    <w:t>2</w:t>
                  </w:r>
                  <w:r>
                    <w:rPr>
                      <w:rFonts w:cs="宋体" w:hint="eastAsia"/>
                    </w:rPr>
                    <w:t>、司法机构、仲裁机构、行政主管部门已对质量纠纷做出生效判决和处理决定的。</w:t>
                  </w:r>
                  <w:r>
                    <w:rPr>
                      <w:rFonts w:cs="Times New Roman"/>
                    </w:rPr>
                    <w:t> </w:t>
                  </w:r>
                  <w:r>
                    <w:t>3</w:t>
                  </w:r>
                  <w:r>
                    <w:rPr>
                      <w:rFonts w:cs="宋体" w:hint="eastAsia"/>
                    </w:rPr>
                    <w:t>、受当前技术工作的限制，无法通过田间现场鉴定的方式来判定所提及质量问题起因的。</w:t>
                  </w:r>
                  <w:r>
                    <w:rPr>
                      <w:rFonts w:cs="Times New Roman"/>
                    </w:rPr>
                    <w:t> </w:t>
                  </w:r>
                  <w:r>
                    <w:t>4</w:t>
                  </w:r>
                  <w:r>
                    <w:rPr>
                      <w:rFonts w:cs="宋体" w:hint="eastAsia"/>
                    </w:rPr>
                    <w:t>、纠纷涉及的种子没有质量判定标准、规定或者合同约定要求的，</w:t>
                  </w:r>
                  <w:r>
                    <w:rPr>
                      <w:rFonts w:cs="Times New Roman"/>
                    </w:rPr>
                    <w:t> </w:t>
                  </w:r>
                  <w:r>
                    <w:t>5</w:t>
                  </w:r>
                  <w:r>
                    <w:rPr>
                      <w:rFonts w:cs="宋体" w:hint="eastAsia"/>
                    </w:rPr>
                    <w:t>、有确凿的理由判定纠纷不是由种子质量所引起的。</w:t>
                  </w:r>
                  <w:r>
                    <w:rPr>
                      <w:rFonts w:cs="Times New Roman"/>
                    </w:rPr>
                    <w:t> </w:t>
                  </w:r>
                  <w:r>
                    <w:t>6</w:t>
                  </w:r>
                  <w:r>
                    <w:rPr>
                      <w:rFonts w:cs="宋体" w:hint="eastAsia"/>
                    </w:rPr>
                    <w:t>、不按规定缴纳鉴定费的</w:t>
                  </w:r>
                </w:p>
                <w:p w:rsidR="003F3AFE" w:rsidRDefault="003F3AFE">
                  <w:pPr>
                    <w:jc w:val="center"/>
                    <w:rPr>
                      <w:rFonts w:cs="Times New Roman"/>
                    </w:rPr>
                  </w:pPr>
                </w:p>
              </w:txbxContent>
            </v:textbox>
          </v:rect>
        </w:pict>
      </w:r>
      <w:r w:rsidRPr="00F20840">
        <w:rPr>
          <w:noProof/>
        </w:rPr>
        <w:pict>
          <v:rect id="_x0000_s1040" style="position:absolute;left:0;text-align:left;margin-left:161.55pt;margin-top:.2pt;width:94.25pt;height:41.8pt;z-index:3;v-text-anchor:middle" fillcolor="#5b9bd5" strokecolor="#41719c" strokeweight="1pt">
            <v:textbox>
              <w:txbxContent>
                <w:p w:rsidR="003F3AFE" w:rsidRDefault="003F3AFE">
                  <w:pPr>
                    <w:jc w:val="center"/>
                    <w:rPr>
                      <w:rFonts w:cs="Times New Roman"/>
                    </w:rPr>
                  </w:pPr>
                  <w:r>
                    <w:rPr>
                      <w:rFonts w:cs="宋体" w:hint="eastAsia"/>
                    </w:rPr>
                    <w:t>组织专家鉴定</w:t>
                  </w:r>
                </w:p>
              </w:txbxContent>
            </v:textbox>
          </v:rect>
        </w:pict>
      </w:r>
    </w:p>
    <w:p w:rsidR="003F3AFE" w:rsidRDefault="003F3AFE">
      <w:pPr>
        <w:rPr>
          <w:rFonts w:cs="Times New Roman"/>
        </w:rPr>
      </w:pPr>
    </w:p>
    <w:p w:rsidR="003F3AFE" w:rsidRDefault="003F3AFE">
      <w:pPr>
        <w:rPr>
          <w:rFonts w:cs="Times New Roman"/>
        </w:rPr>
      </w:pPr>
    </w:p>
    <w:p w:rsidR="003F3AFE" w:rsidRDefault="00F20840">
      <w:pPr>
        <w:rPr>
          <w:rFonts w:cs="Times New Roman"/>
        </w:rPr>
      </w:pPr>
      <w:r w:rsidRPr="00F20840">
        <w:rPr>
          <w:noProof/>
        </w:rPr>
        <w:pict>
          <v:shape id="_x0000_s1041" type="#_x0000_t32" style="position:absolute;left:0;text-align:left;margin-left:208.7pt;margin-top:1.7pt;width:0;height:19.25pt;z-index:13" strokecolor="#5b9bd5" strokeweight=".5pt">
            <v:stroke endarrow="open" joinstyle="miter"/>
          </v:shape>
        </w:pict>
      </w:r>
    </w:p>
    <w:p w:rsidR="003F3AFE" w:rsidRDefault="00F20840">
      <w:pPr>
        <w:rPr>
          <w:rFonts w:cs="Times New Roman"/>
        </w:rPr>
      </w:pPr>
      <w:r w:rsidRPr="00F20840">
        <w:rPr>
          <w:noProof/>
        </w:rPr>
        <w:pict>
          <v:rect id="_x0000_s1042" style="position:absolute;left:0;text-align:left;margin-left:161.55pt;margin-top:14.1pt;width:95.6pt;height:41.85pt;z-index:4;v-text-anchor:middle" fillcolor="#5b9bd5" strokecolor="#41719c" strokeweight="1pt">
            <v:textbox>
              <w:txbxContent>
                <w:p w:rsidR="003F3AFE" w:rsidRDefault="003F3AFE">
                  <w:pPr>
                    <w:jc w:val="center"/>
                    <w:rPr>
                      <w:rFonts w:cs="Times New Roman"/>
                    </w:rPr>
                  </w:pPr>
                  <w:r>
                    <w:rPr>
                      <w:rFonts w:cs="宋体" w:hint="eastAsia"/>
                    </w:rPr>
                    <w:t>制作现场鉴定书</w:t>
                  </w:r>
                </w:p>
              </w:txbxContent>
            </v:textbox>
          </v:rect>
        </w:pict>
      </w:r>
    </w:p>
    <w:p w:rsidR="003F3AFE" w:rsidRDefault="003F3AFE">
      <w:pPr>
        <w:rPr>
          <w:rFonts w:cs="Times New Roman"/>
        </w:rPr>
      </w:pPr>
    </w:p>
    <w:p w:rsidR="003F3AFE" w:rsidRDefault="00F20840">
      <w:pPr>
        <w:rPr>
          <w:rFonts w:cs="Times New Roman"/>
        </w:rPr>
      </w:pPr>
      <w:r w:rsidRPr="00F20840">
        <w:rPr>
          <w:noProof/>
        </w:rPr>
        <w:pict>
          <v:shape id="_x0000_s1043" type="#_x0000_t32" style="position:absolute;left:0;text-align:left;margin-left:264.45pt;margin-top:4.25pt;width:20.55pt;height:0;z-index:17" strokecolor="#5b9bd5" strokeweight=".5pt">
            <v:stroke endarrow="open" joinstyle="miter"/>
          </v:shape>
        </w:pict>
      </w:r>
    </w:p>
    <w:p w:rsidR="003F3AFE" w:rsidRDefault="003F3AFE">
      <w:pPr>
        <w:rPr>
          <w:rFonts w:cs="Times New Roman"/>
        </w:rPr>
      </w:pPr>
    </w:p>
    <w:p w:rsidR="003F3AFE" w:rsidRDefault="003F3AFE">
      <w:pPr>
        <w:rPr>
          <w:rFonts w:cs="Times New Roman"/>
        </w:rPr>
      </w:pPr>
    </w:p>
    <w:p w:rsidR="003F3AFE" w:rsidRDefault="003F3AFE">
      <w:pPr>
        <w:rPr>
          <w:rFonts w:cs="Times New Roman"/>
        </w:rPr>
      </w:pPr>
    </w:p>
    <w:p w:rsidR="003F3AFE" w:rsidRDefault="003F3AFE">
      <w:pPr>
        <w:rPr>
          <w:rFonts w:cs="Times New Roman"/>
        </w:rPr>
      </w:pPr>
    </w:p>
    <w:p w:rsidR="003F3AFE" w:rsidRDefault="003F3AFE">
      <w:pPr>
        <w:rPr>
          <w:rFonts w:cs="Times New Roman"/>
        </w:rPr>
      </w:pPr>
    </w:p>
    <w:p w:rsidR="003F3AFE" w:rsidRDefault="003F3AFE">
      <w:pPr>
        <w:rPr>
          <w:rFonts w:cs="Times New Roman"/>
        </w:rPr>
      </w:pPr>
    </w:p>
    <w:p w:rsidR="003F3AFE" w:rsidRDefault="003F3AFE">
      <w:pPr>
        <w:rPr>
          <w:rFonts w:cs="Times New Roman"/>
        </w:rPr>
      </w:pPr>
    </w:p>
    <w:p w:rsidR="003F3AFE" w:rsidRDefault="003F3AFE">
      <w:pPr>
        <w:rPr>
          <w:rFonts w:cs="Times New Roman"/>
        </w:rPr>
      </w:pPr>
    </w:p>
    <w:p w:rsidR="003F3AFE" w:rsidRDefault="003F3AFE">
      <w:pPr>
        <w:rPr>
          <w:rFonts w:cs="Times New Roman"/>
        </w:rPr>
      </w:pPr>
    </w:p>
    <w:p w:rsidR="003F3AFE" w:rsidRDefault="003F3AFE" w:rsidP="00DB03AD">
      <w:pPr>
        <w:ind w:left="178" w:hangingChars="85" w:hanging="178"/>
        <w:rPr>
          <w:rFonts w:cs="Times New Roman"/>
        </w:rPr>
      </w:pPr>
      <w:r>
        <w:rPr>
          <w:rFonts w:cs="Times New Roman"/>
        </w:rPr>
        <w:t> </w:t>
      </w:r>
    </w:p>
    <w:p w:rsidR="003F3AFE" w:rsidRDefault="003F3AFE">
      <w:pPr>
        <w:rPr>
          <w:rFonts w:cs="Times New Roman"/>
        </w:rPr>
      </w:pPr>
    </w:p>
    <w:p w:rsidR="003F3AFE" w:rsidRDefault="003F3AFE">
      <w:pPr>
        <w:rPr>
          <w:rFonts w:cs="Times New Roman"/>
        </w:rPr>
      </w:pPr>
    </w:p>
    <w:p w:rsidR="003F3AFE" w:rsidRDefault="003F3AFE">
      <w:pPr>
        <w:rPr>
          <w:rFonts w:cs="Times New Roman"/>
        </w:rPr>
      </w:pPr>
    </w:p>
    <w:sectPr w:rsidR="003F3AFE" w:rsidSect="00D1076B">
      <w:headerReference w:type="default" r:id="rId6"/>
      <w:pgSz w:w="11906" w:h="16838"/>
      <w:pgMar w:top="1440" w:right="272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C90" w:rsidRDefault="00D24C90" w:rsidP="00DB03AD">
      <w:r>
        <w:separator/>
      </w:r>
    </w:p>
  </w:endnote>
  <w:endnote w:type="continuationSeparator" w:id="0">
    <w:p w:rsidR="00D24C90" w:rsidRDefault="00D24C90" w:rsidP="00DB03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C90" w:rsidRDefault="00D24C90" w:rsidP="00DB03AD">
      <w:r>
        <w:separator/>
      </w:r>
    </w:p>
  </w:footnote>
  <w:footnote w:type="continuationSeparator" w:id="0">
    <w:p w:rsidR="00D24C90" w:rsidRDefault="00D24C90" w:rsidP="00DB0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FE" w:rsidRDefault="003F3AFE" w:rsidP="001250D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D4"/>
    <w:rsid w:val="000257C7"/>
    <w:rsid w:val="0007590D"/>
    <w:rsid w:val="000E2CD2"/>
    <w:rsid w:val="001250D5"/>
    <w:rsid w:val="003212F2"/>
    <w:rsid w:val="003B10D4"/>
    <w:rsid w:val="003D3443"/>
    <w:rsid w:val="003F3AFE"/>
    <w:rsid w:val="00482075"/>
    <w:rsid w:val="00533E1F"/>
    <w:rsid w:val="007360C7"/>
    <w:rsid w:val="007E0D19"/>
    <w:rsid w:val="007F2F0F"/>
    <w:rsid w:val="008F6CFB"/>
    <w:rsid w:val="009B3D2C"/>
    <w:rsid w:val="00A4609E"/>
    <w:rsid w:val="00B67E70"/>
    <w:rsid w:val="00D1076B"/>
    <w:rsid w:val="00D24C90"/>
    <w:rsid w:val="00DA2EC4"/>
    <w:rsid w:val="00DB03AD"/>
    <w:rsid w:val="00DD6E7E"/>
    <w:rsid w:val="00F20840"/>
    <w:rsid w:val="00F8363B"/>
    <w:rsid w:val="11F51FE8"/>
    <w:rsid w:val="2045623D"/>
    <w:rsid w:val="229E4921"/>
    <w:rsid w:val="3B1F3AB3"/>
    <w:rsid w:val="450E2A23"/>
    <w:rsid w:val="51C0738D"/>
    <w:rsid w:val="6334002F"/>
    <w:rsid w:val="7E2B2B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1" type="connector" idref="#_x0000_s1029"/>
        <o:r id="V:Rule12" type="connector" idref="#_x0000_s1031"/>
        <o:r id="V:Rule13" type="connector" idref="#_x0000_s1030"/>
        <o:r id="V:Rule14" type="connector" idref="#_x0000_s1036"/>
        <o:r id="V:Rule15" type="connector" idref="#_x0000_s1035"/>
        <o:r id="V:Rule16" type="connector" idref="#_x0000_s1033"/>
        <o:r id="V:Rule17" type="connector" idref="#_x0000_s1034"/>
        <o:r id="V:Rule18" type="connector" idref="#_x0000_s1043"/>
        <o:r id="V:Rule19" type="connector" idref="#_x0000_s1037"/>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D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B03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B03AD"/>
    <w:rPr>
      <w:rFonts w:cs="Calibri"/>
      <w:sz w:val="18"/>
      <w:szCs w:val="18"/>
    </w:rPr>
  </w:style>
  <w:style w:type="paragraph" w:styleId="a4">
    <w:name w:val="footer"/>
    <w:basedOn w:val="a"/>
    <w:link w:val="Char0"/>
    <w:uiPriority w:val="99"/>
    <w:semiHidden/>
    <w:rsid w:val="00DB03A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B03AD"/>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861475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231</Words>
  <Characters>1320</Characters>
  <Application>Microsoft Office Word</Application>
  <DocSecurity>0</DocSecurity>
  <Lines>11</Lines>
  <Paragraphs>3</Paragraphs>
  <ScaleCrop>false</ScaleCrop>
  <Company>Microsoft</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12</cp:revision>
  <dcterms:created xsi:type="dcterms:W3CDTF">2014-10-29T12:08:00Z</dcterms:created>
  <dcterms:modified xsi:type="dcterms:W3CDTF">2016-06-24T08:37:00Z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