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60" w:type="dxa"/>
        <w:tblInd w:w="-106" w:type="dxa"/>
        <w:tblLook w:val="00A0"/>
      </w:tblPr>
      <w:tblGrid>
        <w:gridCol w:w="2260"/>
        <w:gridCol w:w="5600"/>
      </w:tblGrid>
      <w:tr w:rsidR="00B4042E" w:rsidRPr="005B7E22">
        <w:trPr>
          <w:trHeight w:val="510"/>
        </w:trPr>
        <w:tc>
          <w:tcPr>
            <w:tcW w:w="7860" w:type="dxa"/>
            <w:gridSpan w:val="2"/>
            <w:tcBorders>
              <w:top w:val="nil"/>
              <w:left w:val="nil"/>
              <w:bottom w:val="nil"/>
              <w:right w:val="nil"/>
            </w:tcBorders>
            <w:vAlign w:val="center"/>
          </w:tcPr>
          <w:p w:rsidR="00B4042E" w:rsidRPr="00056BD1" w:rsidRDefault="00B4042E" w:rsidP="00056BD1">
            <w:pPr>
              <w:widowControl/>
              <w:jc w:val="center"/>
              <w:rPr>
                <w:rFonts w:ascii="黑体" w:eastAsia="黑体" w:hAnsi="黑体" w:cs="Times New Roman"/>
                <w:kern w:val="0"/>
                <w:sz w:val="40"/>
                <w:szCs w:val="40"/>
              </w:rPr>
            </w:pPr>
            <w:r w:rsidRPr="00056BD1">
              <w:rPr>
                <w:rFonts w:ascii="黑体" w:eastAsia="黑体" w:hAnsi="黑体" w:cs="黑体" w:hint="eastAsia"/>
                <w:kern w:val="0"/>
                <w:sz w:val="40"/>
                <w:szCs w:val="40"/>
              </w:rPr>
              <w:t>行政职权基本信息表</w:t>
            </w:r>
          </w:p>
        </w:tc>
      </w:tr>
      <w:tr w:rsidR="00B4042E" w:rsidRPr="005B7E22">
        <w:trPr>
          <w:trHeight w:val="405"/>
        </w:trPr>
        <w:tc>
          <w:tcPr>
            <w:tcW w:w="7860" w:type="dxa"/>
            <w:gridSpan w:val="2"/>
            <w:tcBorders>
              <w:top w:val="nil"/>
              <w:left w:val="nil"/>
              <w:bottom w:val="nil"/>
              <w:right w:val="nil"/>
            </w:tcBorders>
            <w:vAlign w:val="center"/>
          </w:tcPr>
          <w:p w:rsidR="00B4042E" w:rsidRPr="00056BD1" w:rsidRDefault="00B4042E" w:rsidP="00056BD1">
            <w:pPr>
              <w:widowControl/>
              <w:jc w:val="center"/>
              <w:rPr>
                <w:rFonts w:ascii="黑体" w:eastAsia="黑体" w:hAnsi="黑体" w:cs="Times New Roman"/>
                <w:kern w:val="0"/>
                <w:sz w:val="32"/>
                <w:szCs w:val="32"/>
              </w:rPr>
            </w:pPr>
            <w:r w:rsidRPr="00056BD1">
              <w:rPr>
                <w:rFonts w:ascii="黑体" w:eastAsia="黑体" w:hAnsi="黑体" w:cs="黑体" w:hint="eastAsia"/>
                <w:kern w:val="0"/>
                <w:sz w:val="32"/>
                <w:szCs w:val="32"/>
              </w:rPr>
              <w:t>（其他类）</w:t>
            </w:r>
          </w:p>
        </w:tc>
      </w:tr>
      <w:tr w:rsidR="00B4042E" w:rsidRPr="005B7E22">
        <w:trPr>
          <w:trHeight w:val="285"/>
        </w:trPr>
        <w:tc>
          <w:tcPr>
            <w:tcW w:w="7860" w:type="dxa"/>
            <w:gridSpan w:val="2"/>
            <w:tcBorders>
              <w:top w:val="nil"/>
              <w:left w:val="nil"/>
              <w:bottom w:val="nil"/>
              <w:right w:val="nil"/>
            </w:tcBorders>
            <w:vAlign w:val="center"/>
          </w:tcPr>
          <w:p w:rsidR="00B4042E" w:rsidRPr="00056BD1" w:rsidRDefault="00B4042E" w:rsidP="00056BD1">
            <w:pPr>
              <w:widowControl/>
              <w:jc w:val="left"/>
              <w:rPr>
                <w:rFonts w:ascii="黑体" w:eastAsia="黑体" w:hAnsi="黑体" w:cs="Times New Roman"/>
                <w:kern w:val="0"/>
                <w:sz w:val="24"/>
                <w:szCs w:val="24"/>
              </w:rPr>
            </w:pPr>
            <w:r w:rsidRPr="00056BD1">
              <w:rPr>
                <w:rFonts w:ascii="黑体" w:eastAsia="黑体" w:hAnsi="黑体" w:cs="黑体" w:hint="eastAsia"/>
                <w:kern w:val="0"/>
                <w:sz w:val="24"/>
                <w:szCs w:val="24"/>
              </w:rPr>
              <w:t>填报单位：</w:t>
            </w:r>
            <w:r w:rsidRPr="00084B55">
              <w:rPr>
                <w:rFonts w:ascii="仿宋" w:eastAsia="仿宋" w:hAnsi="仿宋" w:cs="仿宋" w:hint="eastAsia"/>
                <w:kern w:val="0"/>
                <w:sz w:val="32"/>
                <w:szCs w:val="32"/>
              </w:rPr>
              <w:t>西塞山区农林水利局</w:t>
            </w:r>
          </w:p>
        </w:tc>
      </w:tr>
      <w:tr w:rsidR="00B4042E" w:rsidRPr="005B7E22">
        <w:trPr>
          <w:trHeight w:val="285"/>
        </w:trPr>
        <w:tc>
          <w:tcPr>
            <w:tcW w:w="2260" w:type="dxa"/>
            <w:tcBorders>
              <w:top w:val="single" w:sz="4" w:space="0" w:color="auto"/>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职权编码</w:t>
            </w:r>
          </w:p>
        </w:tc>
        <w:tc>
          <w:tcPr>
            <w:tcW w:w="5600" w:type="dxa"/>
            <w:tcBorders>
              <w:top w:val="single" w:sz="4" w:space="0" w:color="auto"/>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仿宋"/>
                <w:kern w:val="0"/>
                <w:sz w:val="24"/>
                <w:szCs w:val="24"/>
              </w:rPr>
            </w:pPr>
            <w:r>
              <w:rPr>
                <w:rFonts w:ascii="仿宋" w:eastAsia="仿宋" w:hAnsi="仿宋" w:cs="宋体"/>
                <w:sz w:val="24"/>
              </w:rPr>
              <w:t>57153172-9-</w:t>
            </w:r>
            <w:r>
              <w:rPr>
                <w:rFonts w:ascii="仿宋" w:eastAsia="仿宋" w:hAnsi="仿宋" w:cs="仿宋"/>
                <w:color w:val="000000"/>
                <w:kern w:val="0"/>
                <w:sz w:val="24"/>
              </w:rPr>
              <w:t>QT</w:t>
            </w:r>
            <w:r>
              <w:rPr>
                <w:rFonts w:ascii="仿宋" w:eastAsia="仿宋" w:hAnsi="仿宋" w:cs="宋体"/>
                <w:sz w:val="24"/>
              </w:rPr>
              <w:t>-27800</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职权名称</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农业生产事故鉴定及调处</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子项名称</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无</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职权类型</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仿宋"/>
                <w:kern w:val="0"/>
                <w:sz w:val="24"/>
                <w:szCs w:val="24"/>
              </w:rPr>
            </w:pPr>
            <w:r w:rsidRPr="00056BD1">
              <w:rPr>
                <w:rFonts w:ascii="仿宋" w:eastAsia="仿宋" w:hAnsi="仿宋" w:cs="仿宋" w:hint="eastAsia"/>
                <w:kern w:val="0"/>
                <w:sz w:val="24"/>
                <w:szCs w:val="24"/>
              </w:rPr>
              <w:t>□行政备案</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□行政服务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□行政征用</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□审核转报</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□√其他</w:t>
            </w:r>
            <w:r w:rsidRPr="00056BD1">
              <w:rPr>
                <w:rFonts w:ascii="仿宋" w:eastAsia="仿宋" w:hAnsi="仿宋" w:cs="仿宋"/>
                <w:kern w:val="0"/>
                <w:sz w:val="24"/>
                <w:szCs w:val="24"/>
              </w:rPr>
              <w:t xml:space="preserve"> </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行使主体</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B4042E" w:rsidRPr="005B7E22">
        <w:trPr>
          <w:trHeight w:val="1710"/>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职权依据</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《中华人民共和国农业法》第六十六条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县级以上人民政府应当采取措施，督促有关单位进行治理，防治废水、废气和固体废弃物对农业生态环境的污染。排放废水、废气和固体废弃物造成农业生态环境污染事故的，由环境保护行政主管部门或者农业行政主管部门依法调查处理；给农民和农业生产经营组织造成损失的，有关责任者应当依法赔偿。</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受理范围及条件</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单位、公民</w:t>
            </w:r>
          </w:p>
        </w:tc>
      </w:tr>
      <w:tr w:rsidR="00B4042E" w:rsidRPr="005B7E22">
        <w:trPr>
          <w:trHeight w:val="570"/>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需提交的材料</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受理人提出申请，包括事故发生的时间、地点、农业环境是否损害的状况，初步判断污染物来源、污染种类、污染途径等</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法定期限</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kern w:val="0"/>
                <w:sz w:val="24"/>
                <w:szCs w:val="24"/>
              </w:rPr>
              <w:t>7</w:t>
            </w:r>
            <w:r w:rsidRPr="00056BD1">
              <w:rPr>
                <w:rFonts w:ascii="仿宋" w:eastAsia="仿宋" w:hAnsi="仿宋" w:cs="仿宋" w:hint="eastAsia"/>
                <w:kern w:val="0"/>
                <w:sz w:val="24"/>
                <w:szCs w:val="24"/>
              </w:rPr>
              <w:t>个工作日</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承诺期限</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kern w:val="0"/>
                <w:sz w:val="24"/>
                <w:szCs w:val="24"/>
              </w:rPr>
              <w:t>3</w:t>
            </w:r>
            <w:r w:rsidRPr="00056BD1">
              <w:rPr>
                <w:rFonts w:ascii="仿宋" w:eastAsia="仿宋" w:hAnsi="仿宋" w:cs="仿宋" w:hint="eastAsia"/>
                <w:kern w:val="0"/>
                <w:sz w:val="24"/>
                <w:szCs w:val="24"/>
              </w:rPr>
              <w:t>个工作日</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特别程序及期限</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无</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收费依据及标准</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无</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职权运行流程</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受理→审查→决定→送达</w:t>
            </w:r>
          </w:p>
        </w:tc>
      </w:tr>
      <w:tr w:rsidR="00B4042E" w:rsidRPr="005B7E22">
        <w:trPr>
          <w:trHeight w:val="199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责任事项</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kern w:val="0"/>
                <w:sz w:val="24"/>
                <w:szCs w:val="24"/>
              </w:rPr>
              <w:t>1.</w:t>
            </w:r>
            <w:r w:rsidRPr="00056BD1">
              <w:rPr>
                <w:rFonts w:ascii="仿宋" w:eastAsia="仿宋" w:hAnsi="仿宋" w:cs="仿宋" w:hint="eastAsia"/>
                <w:kern w:val="0"/>
                <w:sz w:val="24"/>
                <w:szCs w:val="24"/>
              </w:rPr>
              <w:t>审查责任：组织勘查农业生产事故现场。</w:t>
            </w:r>
            <w:r w:rsidRPr="00056BD1">
              <w:rPr>
                <w:rFonts w:ascii="仿宋" w:eastAsia="仿宋" w:hAnsi="仿宋" w:cs="Times New Roman"/>
                <w:kern w:val="0"/>
                <w:sz w:val="24"/>
                <w:szCs w:val="24"/>
              </w:rPr>
              <w:br/>
            </w:r>
            <w:r w:rsidRPr="00056BD1">
              <w:rPr>
                <w:rFonts w:ascii="仿宋" w:eastAsia="仿宋" w:hAnsi="仿宋" w:cs="仿宋"/>
                <w:kern w:val="0"/>
                <w:sz w:val="24"/>
                <w:szCs w:val="24"/>
              </w:rPr>
              <w:t>2.</w:t>
            </w:r>
            <w:r w:rsidRPr="00056BD1">
              <w:rPr>
                <w:rFonts w:ascii="仿宋" w:eastAsia="仿宋" w:hAnsi="仿宋" w:cs="仿宋" w:hint="eastAsia"/>
                <w:kern w:val="0"/>
                <w:sz w:val="24"/>
                <w:szCs w:val="24"/>
              </w:rPr>
              <w:t>决定责任；作出行政确认或不予立案的决定</w:t>
            </w:r>
            <w:r w:rsidRPr="00056BD1">
              <w:rPr>
                <w:rFonts w:ascii="仿宋" w:eastAsia="仿宋" w:hAnsi="仿宋" w:cs="仿宋"/>
                <w:kern w:val="0"/>
                <w:sz w:val="24"/>
                <w:szCs w:val="24"/>
              </w:rPr>
              <w:t>(</w:t>
            </w:r>
            <w:r w:rsidRPr="00056BD1">
              <w:rPr>
                <w:rFonts w:ascii="仿宋" w:eastAsia="仿宋" w:hAnsi="仿宋" w:cs="仿宋" w:hint="eastAsia"/>
                <w:kern w:val="0"/>
                <w:sz w:val="24"/>
                <w:szCs w:val="24"/>
              </w:rPr>
              <w:t>不予立案应当书面告知理由</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w:t>
            </w:r>
            <w:r w:rsidRPr="00056BD1">
              <w:rPr>
                <w:rFonts w:ascii="仿宋" w:eastAsia="仿宋" w:hAnsi="仿宋" w:cs="Times New Roman"/>
                <w:kern w:val="0"/>
                <w:sz w:val="24"/>
                <w:szCs w:val="24"/>
              </w:rPr>
              <w:br/>
            </w:r>
            <w:r w:rsidRPr="00056BD1">
              <w:rPr>
                <w:rFonts w:ascii="仿宋" w:eastAsia="仿宋" w:hAnsi="仿宋" w:cs="仿宋"/>
                <w:kern w:val="0"/>
                <w:sz w:val="24"/>
                <w:szCs w:val="24"/>
              </w:rPr>
              <w:t>3.</w:t>
            </w:r>
            <w:r w:rsidRPr="00056BD1">
              <w:rPr>
                <w:rFonts w:ascii="仿宋" w:eastAsia="仿宋" w:hAnsi="仿宋" w:cs="仿宋" w:hint="eastAsia"/>
                <w:kern w:val="0"/>
                <w:sz w:val="24"/>
                <w:szCs w:val="24"/>
              </w:rPr>
              <w:t>送达责任：《农业生产事故鉴定及调处认定书》《农业生产事故鉴定及调处处罚决定书》送达当事人并信息公开。</w:t>
            </w:r>
            <w:r w:rsidRPr="00056BD1">
              <w:rPr>
                <w:rFonts w:ascii="仿宋" w:eastAsia="仿宋" w:hAnsi="仿宋" w:cs="Times New Roman"/>
                <w:kern w:val="0"/>
                <w:sz w:val="24"/>
                <w:szCs w:val="24"/>
              </w:rPr>
              <w:br/>
            </w:r>
            <w:r w:rsidRPr="00056BD1">
              <w:rPr>
                <w:rFonts w:ascii="仿宋" w:eastAsia="仿宋" w:hAnsi="仿宋" w:cs="仿宋"/>
                <w:kern w:val="0"/>
                <w:sz w:val="24"/>
                <w:szCs w:val="24"/>
              </w:rPr>
              <w:t>4.</w:t>
            </w:r>
            <w:r w:rsidRPr="00056BD1">
              <w:rPr>
                <w:rFonts w:ascii="仿宋" w:eastAsia="仿宋" w:hAnsi="仿宋" w:cs="仿宋" w:hint="eastAsia"/>
                <w:kern w:val="0"/>
                <w:sz w:val="24"/>
                <w:szCs w:val="24"/>
              </w:rPr>
              <w:t>监管责任：对农业生产事故责任认定进行监督检查。</w:t>
            </w:r>
            <w:r w:rsidRPr="00056BD1">
              <w:rPr>
                <w:rFonts w:ascii="仿宋" w:eastAsia="仿宋" w:hAnsi="仿宋" w:cs="Times New Roman"/>
                <w:kern w:val="0"/>
                <w:sz w:val="24"/>
                <w:szCs w:val="24"/>
              </w:rPr>
              <w:br/>
            </w:r>
            <w:r w:rsidRPr="00056BD1">
              <w:rPr>
                <w:rFonts w:ascii="仿宋" w:eastAsia="仿宋" w:hAnsi="仿宋" w:cs="仿宋"/>
                <w:kern w:val="0"/>
                <w:sz w:val="24"/>
                <w:szCs w:val="24"/>
              </w:rPr>
              <w:t>5.</w:t>
            </w:r>
            <w:r w:rsidRPr="00056BD1">
              <w:rPr>
                <w:rFonts w:ascii="仿宋" w:eastAsia="仿宋" w:hAnsi="仿宋" w:cs="仿宋" w:hint="eastAsia"/>
                <w:kern w:val="0"/>
                <w:sz w:val="24"/>
                <w:szCs w:val="24"/>
              </w:rPr>
              <w:t>其他法律法规规章文件规定应履行的责任。</w:t>
            </w:r>
          </w:p>
        </w:tc>
      </w:tr>
      <w:tr w:rsidR="00B4042E" w:rsidRPr="005B7E22" w:rsidTr="00AA7DD3">
        <w:trPr>
          <w:trHeight w:val="58"/>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责任事项依据</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kern w:val="0"/>
                <w:sz w:val="24"/>
                <w:szCs w:val="24"/>
              </w:rPr>
              <w:t>1.</w:t>
            </w:r>
            <w:r w:rsidRPr="00056BD1">
              <w:rPr>
                <w:rFonts w:ascii="仿宋" w:eastAsia="仿宋" w:hAnsi="仿宋" w:cs="仿宋" w:hint="eastAsia"/>
                <w:kern w:val="0"/>
                <w:sz w:val="24"/>
                <w:szCs w:val="24"/>
              </w:rPr>
              <w:t>《行政许可法》第三十四条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sidRPr="00056BD1">
              <w:rPr>
                <w:rFonts w:ascii="仿宋" w:eastAsia="仿宋" w:hAnsi="仿宋" w:cs="仿宋"/>
                <w:kern w:val="0"/>
                <w:sz w:val="24"/>
                <w:szCs w:val="24"/>
              </w:rPr>
              <w:t xml:space="preserve">           2</w:t>
            </w:r>
            <w:r w:rsidRPr="00056BD1">
              <w:rPr>
                <w:rFonts w:ascii="仿宋" w:eastAsia="仿宋" w:hAnsi="仿宋" w:cs="仿宋" w:hint="eastAsia"/>
                <w:kern w:val="0"/>
                <w:sz w:val="24"/>
                <w:szCs w:val="24"/>
              </w:rPr>
              <w:t>、《行政许可法》第三十八条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r w:rsidRPr="00056BD1">
              <w:rPr>
                <w:rFonts w:ascii="仿宋" w:eastAsia="仿宋" w:hAnsi="仿宋" w:cs="仿宋"/>
                <w:kern w:val="0"/>
                <w:sz w:val="24"/>
                <w:szCs w:val="24"/>
              </w:rPr>
              <w:t xml:space="preserve">               3.</w:t>
            </w:r>
            <w:r w:rsidRPr="00056BD1">
              <w:rPr>
                <w:rFonts w:ascii="仿宋" w:eastAsia="仿宋" w:hAnsi="仿宋" w:cs="仿宋" w:hint="eastAsia"/>
                <w:kern w:val="0"/>
                <w:sz w:val="24"/>
                <w:szCs w:val="24"/>
              </w:rPr>
              <w:t>《中华人民共和国农业法》第六十六条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县级以上人民政府应当采取措施，督促有关单位进行治理，防治废水、废气和固体废弃物对农业生态环境的污染。排放废水、废气和固体废弃物造成农业生态环境污染事故的，由环境保护行政主管部门或者农业行政主管部门依法调查处理；给农民和农业生产经营组织造成损失的，有关责任者应当依法赔偿。</w:t>
            </w:r>
          </w:p>
        </w:tc>
      </w:tr>
      <w:tr w:rsidR="00B4042E" w:rsidRPr="005B7E22">
        <w:trPr>
          <w:trHeight w:val="256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职责边界</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仿宋"/>
                <w:kern w:val="0"/>
                <w:sz w:val="24"/>
                <w:szCs w:val="24"/>
              </w:rPr>
            </w:pPr>
            <w:r w:rsidRPr="00056BD1">
              <w:rPr>
                <w:rFonts w:ascii="仿宋" w:eastAsia="仿宋" w:hAnsi="仿宋" w:cs="仿宋" w:hint="eastAsia"/>
                <w:kern w:val="0"/>
                <w:sz w:val="24"/>
                <w:szCs w:val="24"/>
              </w:rPr>
              <w:t>一、责任分工</w:t>
            </w:r>
            <w:r w:rsidRPr="00056BD1">
              <w:rPr>
                <w:rFonts w:ascii="仿宋" w:eastAsia="仿宋" w:hAnsi="仿宋" w:cs="Times New Roman"/>
                <w:kern w:val="0"/>
                <w:sz w:val="24"/>
                <w:szCs w:val="24"/>
              </w:rPr>
              <w:br/>
            </w:r>
            <w:r w:rsidRPr="00056BD1">
              <w:rPr>
                <w:rFonts w:ascii="仿宋" w:eastAsia="仿宋" w:hAnsi="仿宋" w:cs="仿宋"/>
                <w:kern w:val="0"/>
                <w:sz w:val="24"/>
                <w:szCs w:val="24"/>
              </w:rPr>
              <w:t xml:space="preserve">   1. </w:t>
            </w:r>
            <w:r w:rsidRPr="00056BD1">
              <w:rPr>
                <w:rFonts w:ascii="仿宋" w:eastAsia="仿宋" w:hAnsi="仿宋" w:cs="仿宋" w:hint="eastAsia"/>
                <w:kern w:val="0"/>
                <w:sz w:val="24"/>
                <w:szCs w:val="24"/>
              </w:rPr>
              <w:t>县级：负责本辖区农业生产事故责任认定和调解处理</w:t>
            </w:r>
            <w:r w:rsidRPr="00056BD1">
              <w:rPr>
                <w:rFonts w:ascii="仿宋" w:eastAsia="仿宋" w:hAnsi="仿宋" w:cs="Times New Roman"/>
                <w:kern w:val="0"/>
                <w:sz w:val="24"/>
                <w:szCs w:val="24"/>
              </w:rPr>
              <w:br/>
            </w:r>
            <w:r w:rsidRPr="00056BD1">
              <w:rPr>
                <w:rFonts w:ascii="仿宋" w:eastAsia="仿宋" w:hAnsi="仿宋" w:cs="仿宋"/>
                <w:kern w:val="0"/>
                <w:sz w:val="24"/>
                <w:szCs w:val="24"/>
              </w:rPr>
              <w:t xml:space="preserve">   2. </w:t>
            </w:r>
            <w:r w:rsidRPr="00056BD1">
              <w:rPr>
                <w:rFonts w:ascii="仿宋" w:eastAsia="仿宋" w:hAnsi="仿宋" w:cs="仿宋" w:hint="eastAsia"/>
                <w:kern w:val="0"/>
                <w:sz w:val="24"/>
                <w:szCs w:val="24"/>
              </w:rPr>
              <w:t>镇（乡）：无。</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二、相关依据</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《中华人民共和国农业法》第六十六条</w:t>
            </w:r>
            <w:r w:rsidRPr="00056BD1">
              <w:rPr>
                <w:rFonts w:ascii="仿宋" w:eastAsia="仿宋" w:hAnsi="仿宋" w:cs="仿宋"/>
                <w:kern w:val="0"/>
                <w:sz w:val="24"/>
                <w:szCs w:val="24"/>
              </w:rPr>
              <w:t xml:space="preserve"> </w:t>
            </w:r>
            <w:r w:rsidRPr="00056BD1">
              <w:rPr>
                <w:rFonts w:ascii="仿宋" w:eastAsia="仿宋" w:hAnsi="仿宋" w:cs="仿宋" w:hint="eastAsia"/>
                <w:kern w:val="0"/>
                <w:sz w:val="24"/>
                <w:szCs w:val="24"/>
              </w:rPr>
              <w:t>县级以上人民政府应当采取措施，督促有关单位进行治理，防治废水、废气和固体废弃物对农业生态环境的污染。排放废水、废气和固体废弃物造成农业生态环境污染事故的，由环境保护行政主管部门或者农业行政主管部门依法调查处理；给农民和农业生产经营组织造成损失的，有关责任者应当依法赔偿。</w:t>
            </w:r>
            <w:r w:rsidRPr="00056BD1">
              <w:rPr>
                <w:rFonts w:ascii="仿宋" w:eastAsia="仿宋" w:hAnsi="仿宋" w:cs="仿宋"/>
                <w:kern w:val="0"/>
                <w:sz w:val="24"/>
                <w:szCs w:val="24"/>
              </w:rPr>
              <w:t xml:space="preserve">         </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承办机构</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B4042E" w:rsidRPr="005B7E22">
        <w:trPr>
          <w:trHeight w:val="570"/>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咨询方式</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电话：</w:t>
            </w:r>
            <w:r w:rsidRPr="00056BD1">
              <w:rPr>
                <w:rFonts w:ascii="仿宋" w:eastAsia="仿宋" w:hAnsi="仿宋" w:cs="仿宋"/>
                <w:kern w:val="0"/>
                <w:sz w:val="24"/>
                <w:szCs w:val="24"/>
              </w:rPr>
              <w:t>0714</w:t>
            </w:r>
            <w:r>
              <w:rPr>
                <w:rFonts w:ascii="仿宋" w:eastAsia="仿宋" w:hAnsi="仿宋" w:cs="仿宋"/>
                <w:kern w:val="0"/>
                <w:sz w:val="24"/>
                <w:szCs w:val="24"/>
              </w:rPr>
              <w:t>-6482289</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监督投诉方式</w:t>
            </w:r>
          </w:p>
        </w:tc>
        <w:tc>
          <w:tcPr>
            <w:tcW w:w="5600" w:type="dxa"/>
            <w:tcBorders>
              <w:top w:val="single" w:sz="4" w:space="0" w:color="auto"/>
              <w:left w:val="nil"/>
              <w:bottom w:val="single" w:sz="4" w:space="0" w:color="auto"/>
              <w:right w:val="single" w:sz="4" w:space="0" w:color="auto"/>
            </w:tcBorders>
          </w:tcPr>
          <w:p w:rsidR="00B4042E" w:rsidRPr="005B7E22" w:rsidRDefault="00B4042E" w:rsidP="008F6CFB">
            <w:pPr>
              <w:widowControl/>
              <w:spacing w:line="360" w:lineRule="exact"/>
              <w:rPr>
                <w:rFonts w:ascii="仿宋_GB2312" w:eastAsia="仿宋_GB2312" w:hAnsi="仿宋" w:cs="仿宋_GB2312"/>
                <w:color w:val="333333"/>
                <w:sz w:val="24"/>
                <w:szCs w:val="24"/>
              </w:rPr>
            </w:pPr>
            <w:r w:rsidRPr="005B7E22">
              <w:rPr>
                <w:rFonts w:ascii="仿宋_GB2312" w:eastAsia="仿宋_GB2312" w:hAnsi="仿宋" w:cs="仿宋_GB2312" w:hint="eastAsia"/>
                <w:color w:val="333333"/>
                <w:sz w:val="24"/>
                <w:szCs w:val="24"/>
              </w:rPr>
              <w:t>地址：西塞山区农林水利局</w:t>
            </w:r>
            <w:r w:rsidRPr="005B7E22">
              <w:rPr>
                <w:rFonts w:ascii="仿宋_GB2312" w:eastAsia="仿宋_GB2312" w:hAnsi="仿宋" w:cs="仿宋_GB2312"/>
                <w:color w:val="333333"/>
                <w:sz w:val="24"/>
                <w:szCs w:val="24"/>
              </w:rPr>
              <w:t xml:space="preserve"> </w:t>
            </w:r>
            <w:r w:rsidRPr="005B7E22">
              <w:rPr>
                <w:rFonts w:ascii="仿宋_GB2312" w:eastAsia="仿宋_GB2312" w:hAnsi="仿宋" w:cs="仿宋_GB2312" w:hint="eastAsia"/>
                <w:color w:val="333333"/>
                <w:sz w:val="24"/>
                <w:szCs w:val="24"/>
              </w:rPr>
              <w:t>电话：</w:t>
            </w:r>
            <w:r w:rsidRPr="005B7E22">
              <w:rPr>
                <w:rFonts w:ascii="仿宋_GB2312" w:eastAsia="仿宋_GB2312" w:hAnsi="仿宋" w:cs="仿宋_GB2312"/>
                <w:color w:val="333333"/>
                <w:sz w:val="24"/>
                <w:szCs w:val="24"/>
              </w:rPr>
              <w:t>0714-6482862</w:t>
            </w:r>
          </w:p>
          <w:p w:rsidR="00B4042E" w:rsidRPr="005B7E22" w:rsidRDefault="00B4042E" w:rsidP="008F6CFB">
            <w:pPr>
              <w:autoSpaceDE w:val="0"/>
              <w:autoSpaceDN w:val="0"/>
              <w:adjustRightInd w:val="0"/>
              <w:jc w:val="left"/>
              <w:rPr>
                <w:rFonts w:ascii="仿宋" w:eastAsia="仿宋" w:cs="Times New Roman"/>
                <w:color w:val="000000"/>
                <w:kern w:val="0"/>
                <w:sz w:val="24"/>
                <w:szCs w:val="24"/>
              </w:rPr>
            </w:pPr>
            <w:r w:rsidRPr="005B7E22">
              <w:rPr>
                <w:rFonts w:ascii="仿宋_GB2312" w:eastAsia="仿宋_GB2312" w:hAnsi="仿宋" w:cs="仿宋_GB2312" w:hint="eastAsia"/>
                <w:color w:val="333333"/>
                <w:sz w:val="24"/>
                <w:szCs w:val="24"/>
              </w:rPr>
              <w:t>邮编：</w:t>
            </w:r>
            <w:r w:rsidRPr="005B7E22">
              <w:rPr>
                <w:rFonts w:ascii="仿宋_GB2312" w:eastAsia="仿宋_GB2312" w:hAnsi="仿宋" w:cs="仿宋_GB2312"/>
                <w:color w:val="333333"/>
                <w:sz w:val="24"/>
                <w:szCs w:val="24"/>
              </w:rPr>
              <w:t xml:space="preserve">435000      </w:t>
            </w:r>
            <w:r w:rsidRPr="005B7E22">
              <w:rPr>
                <w:rFonts w:ascii="仿宋_GB2312" w:eastAsia="仿宋_GB2312" w:hAnsi="仿宋" w:cs="仿宋_GB2312" w:hint="eastAsia"/>
                <w:color w:val="333333"/>
                <w:sz w:val="24"/>
                <w:szCs w:val="24"/>
              </w:rPr>
              <w:t>邮箱：</w:t>
            </w:r>
            <w:r w:rsidRPr="005B7E22">
              <w:rPr>
                <w:rFonts w:ascii="仿宋_GB2312" w:eastAsia="仿宋_GB2312" w:hAnsi="仿宋" w:cs="仿宋_GB2312"/>
                <w:color w:val="333333"/>
                <w:sz w:val="24"/>
                <w:szCs w:val="24"/>
              </w:rPr>
              <w:t>xssnlj@163.com</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审核意见</w:t>
            </w:r>
          </w:p>
        </w:tc>
        <w:tc>
          <w:tcPr>
            <w:tcW w:w="5600" w:type="dxa"/>
            <w:tcBorders>
              <w:top w:val="single" w:sz="4" w:space="0" w:color="auto"/>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（由审改办统一填写）</w:t>
            </w:r>
          </w:p>
        </w:tc>
      </w:tr>
      <w:tr w:rsidR="00B4042E" w:rsidRPr="005B7E22">
        <w:trPr>
          <w:trHeight w:val="285"/>
        </w:trPr>
        <w:tc>
          <w:tcPr>
            <w:tcW w:w="2260" w:type="dxa"/>
            <w:tcBorders>
              <w:top w:val="nil"/>
              <w:left w:val="single" w:sz="4" w:space="0" w:color="auto"/>
              <w:bottom w:val="single" w:sz="4" w:space="0" w:color="auto"/>
              <w:right w:val="single" w:sz="4" w:space="0" w:color="auto"/>
            </w:tcBorders>
            <w:vAlign w:val="center"/>
          </w:tcPr>
          <w:p w:rsidR="00B4042E" w:rsidRPr="00056BD1" w:rsidRDefault="00B4042E" w:rsidP="00056BD1">
            <w:pPr>
              <w:widowControl/>
              <w:jc w:val="center"/>
              <w:rPr>
                <w:rFonts w:ascii="黑体" w:eastAsia="黑体" w:hAnsi="黑体" w:cs="Times New Roman"/>
                <w:kern w:val="0"/>
                <w:sz w:val="24"/>
                <w:szCs w:val="24"/>
              </w:rPr>
            </w:pPr>
            <w:r w:rsidRPr="00056BD1">
              <w:rPr>
                <w:rFonts w:ascii="黑体" w:eastAsia="黑体" w:hAnsi="黑体" w:cs="黑体" w:hint="eastAsia"/>
                <w:kern w:val="0"/>
                <w:sz w:val="24"/>
                <w:szCs w:val="24"/>
              </w:rPr>
              <w:t>备注</w:t>
            </w:r>
          </w:p>
        </w:tc>
        <w:tc>
          <w:tcPr>
            <w:tcW w:w="5600" w:type="dxa"/>
            <w:tcBorders>
              <w:top w:val="nil"/>
              <w:left w:val="nil"/>
              <w:bottom w:val="single" w:sz="4" w:space="0" w:color="auto"/>
              <w:right w:val="single" w:sz="4" w:space="0" w:color="auto"/>
            </w:tcBorders>
            <w:vAlign w:val="center"/>
          </w:tcPr>
          <w:p w:rsidR="00B4042E" w:rsidRPr="00056BD1" w:rsidRDefault="00B4042E" w:rsidP="00056BD1">
            <w:pPr>
              <w:widowControl/>
              <w:jc w:val="left"/>
              <w:rPr>
                <w:rFonts w:ascii="仿宋" w:eastAsia="仿宋" w:hAnsi="仿宋" w:cs="Times New Roman"/>
                <w:kern w:val="0"/>
                <w:sz w:val="24"/>
                <w:szCs w:val="24"/>
              </w:rPr>
            </w:pPr>
            <w:r w:rsidRPr="00056BD1">
              <w:rPr>
                <w:rFonts w:ascii="仿宋" w:eastAsia="仿宋" w:hAnsi="仿宋" w:cs="仿宋" w:hint="eastAsia"/>
                <w:kern w:val="0"/>
                <w:sz w:val="24"/>
                <w:szCs w:val="24"/>
              </w:rPr>
              <w:t xml:space="preserve">　</w:t>
            </w:r>
          </w:p>
        </w:tc>
      </w:tr>
      <w:tr w:rsidR="00B4042E" w:rsidRPr="005B7E22">
        <w:trPr>
          <w:trHeight w:val="285"/>
        </w:trPr>
        <w:tc>
          <w:tcPr>
            <w:tcW w:w="7860" w:type="dxa"/>
            <w:gridSpan w:val="2"/>
            <w:tcBorders>
              <w:top w:val="nil"/>
              <w:left w:val="nil"/>
              <w:bottom w:val="nil"/>
              <w:right w:val="nil"/>
            </w:tcBorders>
            <w:vAlign w:val="center"/>
          </w:tcPr>
          <w:p w:rsidR="00B4042E" w:rsidRPr="00452DB6" w:rsidRDefault="00B4042E" w:rsidP="00056BD1">
            <w:pPr>
              <w:widowControl/>
              <w:jc w:val="left"/>
              <w:rPr>
                <w:rFonts w:ascii="仿宋" w:eastAsia="仿宋" w:hAnsi="仿宋" w:cs="Times New Roman"/>
                <w:kern w:val="0"/>
                <w:sz w:val="24"/>
                <w:szCs w:val="24"/>
              </w:rPr>
            </w:pPr>
            <w:r w:rsidRPr="00452DB6">
              <w:rPr>
                <w:rFonts w:ascii="仿宋" w:eastAsia="仿宋" w:hAnsi="仿宋" w:cs="仿宋" w:hint="eastAsia"/>
                <w:kern w:val="0"/>
                <w:sz w:val="24"/>
                <w:szCs w:val="24"/>
              </w:rPr>
              <w:t>注：</w:t>
            </w:r>
            <w:r w:rsidRPr="00452DB6">
              <w:rPr>
                <w:rFonts w:ascii="仿宋" w:eastAsia="仿宋" w:hAnsi="仿宋" w:cs="仿宋"/>
                <w:kern w:val="0"/>
                <w:sz w:val="24"/>
                <w:szCs w:val="24"/>
              </w:rPr>
              <w:t>1.</w:t>
            </w:r>
            <w:r w:rsidRPr="00452DB6">
              <w:rPr>
                <w:rFonts w:ascii="仿宋" w:eastAsia="仿宋" w:hAnsi="仿宋" w:cs="仿宋" w:hint="eastAsia"/>
                <w:kern w:val="0"/>
                <w:sz w:val="24"/>
                <w:szCs w:val="24"/>
              </w:rPr>
              <w:t>其他类为确有法律法规规章依据又不隶属于本次清理确定的另九类职权的具体行政行为</w:t>
            </w:r>
            <w:r w:rsidRPr="00452DB6">
              <w:rPr>
                <w:rFonts w:ascii="仿宋" w:eastAsia="仿宋" w:hAnsi="仿宋" w:cs="仿宋"/>
                <w:kern w:val="0"/>
                <w:sz w:val="24"/>
                <w:szCs w:val="24"/>
              </w:rPr>
              <w:t>;2.</w:t>
            </w:r>
            <w:r w:rsidRPr="00452DB6">
              <w:rPr>
                <w:rFonts w:ascii="仿宋" w:eastAsia="仿宋" w:hAnsi="仿宋" w:cs="仿宋" w:hint="eastAsia"/>
                <w:kern w:val="0"/>
                <w:sz w:val="24"/>
                <w:szCs w:val="24"/>
              </w:rPr>
              <w:t>表格要素原则上为必填项，确无对应内容则填报“无”；</w:t>
            </w:r>
            <w:r w:rsidRPr="00452DB6">
              <w:rPr>
                <w:rFonts w:ascii="仿宋" w:eastAsia="仿宋" w:hAnsi="仿宋" w:cs="仿宋"/>
                <w:kern w:val="0"/>
                <w:sz w:val="24"/>
                <w:szCs w:val="24"/>
              </w:rPr>
              <w:t>3.</w:t>
            </w:r>
            <w:r w:rsidRPr="00452DB6">
              <w:rPr>
                <w:rFonts w:ascii="仿宋" w:eastAsia="仿宋" w:hAnsi="仿宋" w:cs="仿宋" w:hint="eastAsia"/>
                <w:kern w:val="0"/>
                <w:sz w:val="24"/>
                <w:szCs w:val="24"/>
              </w:rPr>
              <w:t>填报内容使用</w:t>
            </w:r>
            <w:r w:rsidRPr="00452DB6">
              <w:rPr>
                <w:rFonts w:ascii="仿宋" w:eastAsia="仿宋" w:hAnsi="仿宋" w:cs="仿宋"/>
                <w:kern w:val="0"/>
                <w:sz w:val="24"/>
                <w:szCs w:val="24"/>
              </w:rPr>
              <w:t>12</w:t>
            </w:r>
            <w:r w:rsidRPr="00452DB6">
              <w:rPr>
                <w:rFonts w:ascii="仿宋" w:eastAsia="仿宋" w:hAnsi="仿宋" w:cs="仿宋" w:hint="eastAsia"/>
                <w:kern w:val="0"/>
                <w:sz w:val="24"/>
                <w:szCs w:val="24"/>
              </w:rPr>
              <w:t>号仿宋字体</w:t>
            </w:r>
            <w:r w:rsidRPr="00452DB6">
              <w:rPr>
                <w:rFonts w:ascii="仿宋" w:eastAsia="仿宋" w:hAnsi="仿宋" w:cs="仿宋"/>
                <w:kern w:val="0"/>
                <w:sz w:val="24"/>
                <w:szCs w:val="24"/>
              </w:rPr>
              <w:t>;4.</w:t>
            </w:r>
            <w:r w:rsidRPr="00452DB6">
              <w:rPr>
                <w:rFonts w:ascii="仿宋" w:eastAsia="仿宋" w:hAnsi="仿宋" w:cs="仿宋" w:hint="eastAsia"/>
                <w:kern w:val="0"/>
                <w:sz w:val="24"/>
                <w:szCs w:val="24"/>
              </w:rPr>
              <w:t>其他填报要求详见附件</w:t>
            </w:r>
            <w:r w:rsidRPr="00452DB6">
              <w:rPr>
                <w:rFonts w:ascii="仿宋" w:eastAsia="仿宋" w:hAnsi="仿宋" w:cs="仿宋"/>
                <w:kern w:val="0"/>
                <w:sz w:val="24"/>
                <w:szCs w:val="24"/>
              </w:rPr>
              <w:t>9</w:t>
            </w:r>
            <w:r w:rsidRPr="00452DB6">
              <w:rPr>
                <w:rFonts w:ascii="仿宋" w:eastAsia="仿宋" w:hAnsi="仿宋" w:cs="仿宋" w:hint="eastAsia"/>
                <w:kern w:val="0"/>
                <w:sz w:val="24"/>
                <w:szCs w:val="24"/>
              </w:rPr>
              <w:t>。</w:t>
            </w:r>
          </w:p>
        </w:tc>
      </w:tr>
    </w:tbl>
    <w:p w:rsidR="00B4042E" w:rsidRDefault="00B4042E">
      <w:pPr>
        <w:jc w:val="center"/>
        <w:rPr>
          <w:rFonts w:cs="Times New Roman"/>
          <w:sz w:val="44"/>
          <w:szCs w:val="44"/>
        </w:rPr>
      </w:pPr>
    </w:p>
    <w:p w:rsidR="00B4042E" w:rsidRDefault="00B4042E">
      <w:pPr>
        <w:jc w:val="center"/>
        <w:rPr>
          <w:rFonts w:cs="Times New Roman"/>
          <w:sz w:val="44"/>
          <w:szCs w:val="44"/>
        </w:rPr>
      </w:pPr>
    </w:p>
    <w:p w:rsidR="00B4042E" w:rsidRDefault="00B4042E">
      <w:pPr>
        <w:jc w:val="center"/>
        <w:rPr>
          <w:rFonts w:cs="Times New Roman"/>
          <w:sz w:val="44"/>
          <w:szCs w:val="44"/>
        </w:rPr>
      </w:pPr>
    </w:p>
    <w:p w:rsidR="00B4042E" w:rsidRDefault="00B4042E">
      <w:pPr>
        <w:jc w:val="center"/>
        <w:rPr>
          <w:rFonts w:cs="Times New Roman"/>
          <w:sz w:val="44"/>
          <w:szCs w:val="44"/>
        </w:rPr>
      </w:pPr>
    </w:p>
    <w:p w:rsidR="00B4042E" w:rsidRDefault="00B4042E">
      <w:pPr>
        <w:jc w:val="center"/>
        <w:rPr>
          <w:rFonts w:cs="Times New Roman"/>
          <w:sz w:val="44"/>
          <w:szCs w:val="44"/>
        </w:rPr>
      </w:pPr>
    </w:p>
    <w:p w:rsidR="00B4042E" w:rsidRDefault="00B4042E">
      <w:pPr>
        <w:jc w:val="center"/>
        <w:rPr>
          <w:rFonts w:cs="Times New Roman"/>
          <w:sz w:val="44"/>
          <w:szCs w:val="44"/>
        </w:rPr>
      </w:pPr>
      <w:r>
        <w:rPr>
          <w:rFonts w:cs="宋体" w:hint="eastAsia"/>
          <w:sz w:val="44"/>
          <w:szCs w:val="44"/>
        </w:rPr>
        <w:t>农业生产事故鉴定及调处流程图</w:t>
      </w:r>
      <w:bookmarkStart w:id="0" w:name="_GoBack"/>
      <w:bookmarkEnd w:id="0"/>
    </w:p>
    <w:p w:rsidR="00B4042E" w:rsidRDefault="00B4042E">
      <w:pPr>
        <w:jc w:val="center"/>
        <w:rPr>
          <w:rFonts w:cs="Times New Roman"/>
          <w:sz w:val="44"/>
          <w:szCs w:val="44"/>
        </w:rPr>
      </w:pPr>
      <w:r>
        <w:rPr>
          <w:noProof/>
        </w:rPr>
        <w:pict>
          <v:rect id="_x0000_s1026" style="position:absolute;left:0;text-align:left;margin-left:95.5pt;margin-top:9.4pt;width:223.7pt;height:41.8pt;z-index:251649024;v-text-anchor:middle" fillcolor="#5b9bd5" strokecolor="#41719c" strokeweight="1pt">
            <v:textbox>
              <w:txbxContent>
                <w:p w:rsidR="00B4042E" w:rsidRDefault="00B4042E">
                  <w:pPr>
                    <w:jc w:val="center"/>
                    <w:rPr>
                      <w:rFonts w:cs="Times New Roman"/>
                    </w:rPr>
                  </w:pPr>
                  <w:r>
                    <w:rPr>
                      <w:rFonts w:cs="宋体" w:hint="eastAsia"/>
                    </w:rPr>
                    <w:t>来人来访、信件、电话投诉</w:t>
                  </w:r>
                </w:p>
              </w:txbxContent>
            </v:textbox>
          </v:rect>
        </w:pict>
      </w:r>
    </w:p>
    <w:p w:rsidR="00B4042E" w:rsidRDefault="00B4042E">
      <w:pPr>
        <w:jc w:val="center"/>
        <w:rPr>
          <w:rFonts w:cs="Times New Roman"/>
          <w:sz w:val="44"/>
          <w:szCs w:val="4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6.35pt;margin-top:18.7pt;width:.65pt;height:25.2pt;z-index:251650048" strokecolor="#5b9bd5" strokeweight=".5pt">
            <v:stroke endarrow="open" joinstyle="miter"/>
          </v:shape>
        </w:pict>
      </w:r>
    </w:p>
    <w:p w:rsidR="00B4042E" w:rsidRDefault="00B4042E">
      <w:pPr>
        <w:jc w:val="center"/>
        <w:rPr>
          <w:rFonts w:cs="Times New Roman"/>
          <w:sz w:val="44"/>
          <w:szCs w:val="44"/>
        </w:rPr>
      </w:pPr>
      <w:r>
        <w:rPr>
          <w:noProof/>
        </w:rPr>
        <w:pict>
          <v:rect id="_x0000_s1028" style="position:absolute;left:0;text-align:left;margin-left:96.85pt;margin-top:10.05pt;width:223pt;height:42.45pt;z-index:251651072;v-text-anchor:middle" fillcolor="#5b9bd5" strokecolor="#41719c" strokeweight="1pt">
            <v:textbox>
              <w:txbxContent>
                <w:p w:rsidR="00B4042E" w:rsidRDefault="00B4042E">
                  <w:pPr>
                    <w:jc w:val="center"/>
                    <w:rPr>
                      <w:rFonts w:cs="Times New Roman"/>
                    </w:rPr>
                  </w:pPr>
                  <w:r>
                    <w:rPr>
                      <w:rFonts w:cs="宋体" w:hint="eastAsia"/>
                    </w:rPr>
                    <w:t>提供证据材料</w:t>
                  </w:r>
                </w:p>
              </w:txbxContent>
            </v:textbox>
          </v:rect>
        </w:pict>
      </w:r>
    </w:p>
    <w:p w:rsidR="00B4042E" w:rsidRDefault="00B4042E">
      <w:pPr>
        <w:jc w:val="center"/>
        <w:rPr>
          <w:rFonts w:cs="Times New Roman"/>
          <w:sz w:val="44"/>
          <w:szCs w:val="44"/>
        </w:rPr>
      </w:pPr>
      <w:r>
        <w:rPr>
          <w:noProof/>
        </w:rPr>
        <w:pict>
          <v:shape id="_x0000_s1029" type="#_x0000_t32" style="position:absolute;left:0;text-align:left;margin-left:207pt;margin-top:12.75pt;width:0;height:29.85pt;z-index:251652096" strokecolor="#5b9bd5" strokeweight=".5pt">
            <v:stroke endarrow="open" joinstyle="miter"/>
          </v:shape>
        </w:pict>
      </w:r>
    </w:p>
    <w:p w:rsidR="00B4042E" w:rsidRDefault="00B4042E">
      <w:pPr>
        <w:jc w:val="center"/>
        <w:rPr>
          <w:rFonts w:cs="Times New Roman"/>
          <w:sz w:val="44"/>
          <w:szCs w:val="44"/>
        </w:rPr>
      </w:pPr>
      <w:r>
        <w:rPr>
          <w:noProof/>
        </w:rPr>
        <w:pict>
          <v:rect id="_x0000_s1030" style="position:absolute;left:0;text-align:left;margin-left:96.25pt;margin-top:10.65pt;width:223.6pt;height:43.85pt;z-index:251653120;v-text-anchor:middle" fillcolor="#5b9bd5" strokecolor="#41719c" strokeweight="1pt">
            <v:textbox>
              <w:txbxContent>
                <w:p w:rsidR="00B4042E" w:rsidRDefault="00B4042E">
                  <w:pPr>
                    <w:jc w:val="center"/>
                    <w:rPr>
                      <w:rFonts w:cs="Times New Roman"/>
                    </w:rPr>
                  </w:pPr>
                  <w:r>
                    <w:rPr>
                      <w:rFonts w:cs="宋体" w:hint="eastAsia"/>
                    </w:rPr>
                    <w:t>农业部门组织当事人双方进行协商</w:t>
                  </w:r>
                </w:p>
              </w:txbxContent>
            </v:textbox>
          </v:rect>
        </w:pict>
      </w:r>
    </w:p>
    <w:p w:rsidR="00B4042E" w:rsidRDefault="00B4042E">
      <w:pPr>
        <w:jc w:val="center"/>
        <w:rPr>
          <w:rFonts w:cs="Times New Roman"/>
          <w:sz w:val="44"/>
          <w:szCs w:val="44"/>
        </w:rPr>
      </w:pPr>
      <w:r>
        <w:rPr>
          <w:noProof/>
        </w:rPr>
        <w:pict>
          <v:shape id="_x0000_s1031" type="#_x0000_t32" style="position:absolute;left:0;text-align:left;margin-left:272.05pt;margin-top:26.1pt;width:.7pt;height:16.55pt;flip:x;z-index:251661312" strokecolor="#5b9bd5" strokeweight=".5pt">
            <v:stroke endarrow="open" joinstyle="miter"/>
          </v:shape>
        </w:pict>
      </w:r>
      <w:r>
        <w:rPr>
          <w:noProof/>
        </w:rPr>
        <w:pict>
          <v:shape id="_x0000_s1032" type="#_x0000_t32" style="position:absolute;left:0;text-align:left;margin-left:144.65pt;margin-top:19.2pt;width:.65pt;height:23.25pt;z-index:251654144" strokecolor="#5b9bd5" strokeweight=".5pt">
            <v:stroke endarrow="open" joinstyle="miter"/>
          </v:shape>
        </w:pict>
      </w:r>
    </w:p>
    <w:p w:rsidR="00B4042E" w:rsidRDefault="00B4042E">
      <w:pPr>
        <w:jc w:val="center"/>
        <w:rPr>
          <w:rFonts w:cs="Times New Roman"/>
          <w:sz w:val="44"/>
          <w:szCs w:val="44"/>
        </w:rPr>
      </w:pPr>
      <w:r>
        <w:rPr>
          <w:noProof/>
        </w:rPr>
        <w:pict>
          <v:rect id="_x0000_s1033" style="position:absolute;left:0;text-align:left;margin-left:251.4pt;margin-top:10.6pt;width:58.5pt;height:54.4pt;z-index:251660288;v-text-anchor:middle" fillcolor="#5b9bd5" strokecolor="#41719c" strokeweight="1pt">
            <v:textbox>
              <w:txbxContent>
                <w:p w:rsidR="00B4042E" w:rsidRDefault="00B4042E">
                  <w:pPr>
                    <w:jc w:val="center"/>
                    <w:rPr>
                      <w:rFonts w:cs="Times New Roman"/>
                    </w:rPr>
                  </w:pPr>
                  <w:r>
                    <w:rPr>
                      <w:rFonts w:cs="宋体" w:hint="eastAsia"/>
                    </w:rPr>
                    <w:t>协调成功</w:t>
                  </w:r>
                </w:p>
              </w:txbxContent>
            </v:textbox>
          </v:rect>
        </w:pict>
      </w:r>
      <w:r>
        <w:rPr>
          <w:noProof/>
        </w:rPr>
        <w:pict>
          <v:rect id="_x0000_s1034" style="position:absolute;left:0;text-align:left;margin-left:98.8pt;margin-top:11.25pt;width:57.9pt;height:50.45pt;z-index:251655168;v-text-anchor:middle" fillcolor="#5b9bd5" strokecolor="#41719c" strokeweight="1pt">
            <v:textbox>
              <w:txbxContent>
                <w:p w:rsidR="00B4042E" w:rsidRDefault="00B4042E">
                  <w:pPr>
                    <w:jc w:val="center"/>
                    <w:rPr>
                      <w:rFonts w:cs="Times New Roman"/>
                    </w:rPr>
                  </w:pPr>
                  <w:r>
                    <w:rPr>
                      <w:rFonts w:cs="宋体" w:hint="eastAsia"/>
                    </w:rPr>
                    <w:t>协调失败</w:t>
                  </w:r>
                </w:p>
              </w:txbxContent>
            </v:textbox>
          </v:rect>
        </w:pict>
      </w:r>
    </w:p>
    <w:p w:rsidR="00B4042E" w:rsidRDefault="00B4042E">
      <w:pPr>
        <w:jc w:val="center"/>
        <w:rPr>
          <w:rFonts w:cs="Times New Roman"/>
          <w:sz w:val="44"/>
          <w:szCs w:val="44"/>
        </w:rPr>
      </w:pPr>
      <w:r>
        <w:rPr>
          <w:noProof/>
        </w:rPr>
        <w:pict>
          <v:shape id="_x0000_s1035" type="#_x0000_t32" style="position:absolute;left:0;text-align:left;margin-left:161.9pt;margin-top:2.6pt;width:42.15pt;height:48.45pt;z-index:251665408" strokecolor="#5b9bd5" strokeweight=".5pt">
            <v:stroke endarrow="open" joinstyle="miter"/>
          </v:shape>
        </w:pict>
      </w:r>
      <w:r>
        <w:rPr>
          <w:noProof/>
        </w:rPr>
        <w:pict>
          <v:shape id="_x0000_s1036" type="#_x0000_t32" style="position:absolute;left:0;text-align:left;margin-left:275.4pt;margin-top:27.95pt;width:.65pt;height:21.25pt;z-index:251656192" strokecolor="#5b9bd5" strokeweight=".5pt">
            <v:stroke endarrow="open" joinstyle="miter"/>
          </v:shape>
        </w:pict>
      </w:r>
      <w:r>
        <w:rPr>
          <w:noProof/>
        </w:rPr>
        <w:pict>
          <v:shape id="_x0000_s1037" type="#_x0000_t32" style="position:absolute;left:0;text-align:left;margin-left:140.7pt;margin-top:28.4pt;width:1.3pt;height:23.2pt;flip:x;z-index:251657216" strokecolor="#5b9bd5" strokeweight=".5pt">
            <v:stroke endarrow="open" joinstyle="miter"/>
          </v:shape>
        </w:pict>
      </w:r>
    </w:p>
    <w:p w:rsidR="00B4042E" w:rsidRDefault="00B4042E">
      <w:pPr>
        <w:jc w:val="center"/>
        <w:rPr>
          <w:rFonts w:cs="Times New Roman"/>
          <w:sz w:val="44"/>
          <w:szCs w:val="44"/>
        </w:rPr>
      </w:pPr>
      <w:r>
        <w:rPr>
          <w:noProof/>
        </w:rPr>
        <w:pict>
          <v:rect id="_x0000_s1038" style="position:absolute;left:0;text-align:left;margin-left:175.85pt;margin-top:19.85pt;width:56.4pt;height:81.7pt;z-index:251664384;v-text-anchor:middle" fillcolor="#5b9bd5" strokecolor="#41719c" strokeweight="1pt">
            <v:textbox>
              <w:txbxContent>
                <w:p w:rsidR="00B4042E" w:rsidRDefault="00B4042E">
                  <w:pPr>
                    <w:jc w:val="center"/>
                    <w:rPr>
                      <w:rFonts w:cs="Times New Roman"/>
                    </w:rPr>
                  </w:pPr>
                  <w:r>
                    <w:rPr>
                      <w:rFonts w:cs="宋体" w:hint="eastAsia"/>
                    </w:rPr>
                    <w:t>移送公安检查机关</w:t>
                  </w:r>
                </w:p>
              </w:txbxContent>
            </v:textbox>
          </v:rect>
        </w:pict>
      </w:r>
      <w:r>
        <w:rPr>
          <w:noProof/>
        </w:rPr>
        <w:pict>
          <v:rect id="_x0000_s1039" style="position:absolute;left:0;text-align:left;margin-left:254.15pt;margin-top:18.45pt;width:57.05pt;height:220.4pt;z-index:251658240;v-text-anchor:middle" fillcolor="#5b9bd5" strokecolor="#41719c" strokeweight="1pt">
            <v:textbox>
              <w:txbxContent>
                <w:p w:rsidR="00B4042E" w:rsidRDefault="00B4042E">
                  <w:pPr>
                    <w:jc w:val="center"/>
                    <w:rPr>
                      <w:rFonts w:cs="Times New Roman"/>
                    </w:rPr>
                  </w:pPr>
                  <w:r>
                    <w:rPr>
                      <w:rFonts w:cs="宋体" w:hint="eastAsia"/>
                    </w:rPr>
                    <w:t>双方协定协议，按规定履行责任和义务</w:t>
                  </w:r>
                </w:p>
                <w:p w:rsidR="00B4042E" w:rsidRDefault="00B4042E">
                  <w:pPr>
                    <w:rPr>
                      <w:rFonts w:cs="Times New Roman"/>
                    </w:rPr>
                  </w:pPr>
                </w:p>
              </w:txbxContent>
            </v:textbox>
          </v:rect>
        </w:pict>
      </w:r>
      <w:r>
        <w:rPr>
          <w:noProof/>
        </w:rPr>
        <w:pict>
          <v:rect id="_x0000_s1040" style="position:absolute;left:0;text-align:left;margin-left:103.45pt;margin-top:18.4pt;width:51.75pt;height:84.95pt;z-index:251659264;v-text-anchor:middle" fillcolor="#5b9bd5" strokecolor="#41719c" strokeweight="1pt">
            <v:textbox>
              <w:txbxContent>
                <w:p w:rsidR="00B4042E" w:rsidRDefault="00B4042E">
                  <w:pPr>
                    <w:jc w:val="center"/>
                    <w:rPr>
                      <w:rFonts w:cs="Times New Roman"/>
                    </w:rPr>
                  </w:pPr>
                  <w:r>
                    <w:rPr>
                      <w:rFonts w:cs="宋体" w:hint="eastAsia"/>
                    </w:rPr>
                    <w:t>当事人向法院申请起诉</w:t>
                  </w:r>
                </w:p>
              </w:txbxContent>
            </v:textbox>
          </v:rect>
        </w:pict>
      </w:r>
    </w:p>
    <w:p w:rsidR="00B4042E" w:rsidRDefault="00B4042E">
      <w:pPr>
        <w:jc w:val="center"/>
        <w:rPr>
          <w:rFonts w:cs="Times New Roman"/>
          <w:sz w:val="44"/>
          <w:szCs w:val="44"/>
        </w:rPr>
      </w:pPr>
    </w:p>
    <w:p w:rsidR="00B4042E" w:rsidRDefault="00B4042E">
      <w:pPr>
        <w:jc w:val="center"/>
        <w:rPr>
          <w:rFonts w:cs="Times New Roman"/>
          <w:sz w:val="44"/>
          <w:szCs w:val="44"/>
        </w:rPr>
      </w:pPr>
      <w:r>
        <w:rPr>
          <w:noProof/>
        </w:rPr>
        <w:pict>
          <v:shape id="_x0000_s1041" type="#_x0000_t32" style="position:absolute;left:0;text-align:left;margin-left:163.2pt;margin-top:43.65pt;width:40.5pt;height:80.85pt;flip:x;z-index:251666432" strokecolor="#5b9bd5" strokeweight=".5pt">
            <v:stroke endarrow="open" joinstyle="miter"/>
          </v:shape>
        </w:pict>
      </w:r>
      <w:r>
        <w:rPr>
          <w:noProof/>
        </w:rPr>
        <w:pict>
          <v:rect id="_x0000_s1042" style="position:absolute;left:0;text-align:left;margin-left:107.45pt;margin-top:76.7pt;width:55.75pt;height:95.6pt;z-index:251663360;v-text-anchor:middle" fillcolor="#5b9bd5" strokecolor="#41719c" strokeweight="1pt">
            <v:textbox>
              <w:txbxContent>
                <w:p w:rsidR="00B4042E" w:rsidRDefault="00B4042E">
                  <w:pPr>
                    <w:jc w:val="center"/>
                    <w:rPr>
                      <w:rFonts w:cs="Times New Roman"/>
                    </w:rPr>
                  </w:pPr>
                  <w:r>
                    <w:rPr>
                      <w:rFonts w:cs="宋体" w:hint="eastAsia"/>
                    </w:rPr>
                    <w:t>法院判决</w:t>
                  </w:r>
                </w:p>
              </w:txbxContent>
            </v:textbox>
          </v:rect>
        </w:pict>
      </w:r>
      <w:r>
        <w:rPr>
          <w:noProof/>
        </w:rPr>
        <w:pict>
          <v:shape id="_x0000_s1043" type="#_x0000_t32" style="position:absolute;left:0;text-align:left;margin-left:130.05pt;margin-top:48.85pt;width:0;height:17.25pt;z-index:251662336" strokecolor="#5b9bd5" strokeweight=".5pt">
            <v:stroke endarrow="open" joinstyle="miter"/>
          </v:shape>
        </w:pict>
      </w:r>
    </w:p>
    <w:sectPr w:rsidR="00B4042E" w:rsidSect="001010F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2E" w:rsidRDefault="00B4042E" w:rsidP="003F2CAE">
      <w:pPr>
        <w:rPr>
          <w:rFonts w:cs="Times New Roman"/>
        </w:rPr>
      </w:pPr>
      <w:r>
        <w:rPr>
          <w:rFonts w:cs="Times New Roman"/>
        </w:rPr>
        <w:separator/>
      </w:r>
    </w:p>
  </w:endnote>
  <w:endnote w:type="continuationSeparator" w:id="0">
    <w:p w:rsidR="00B4042E" w:rsidRDefault="00B4042E" w:rsidP="003F2CA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2E" w:rsidRDefault="00B4042E" w:rsidP="003F2CAE">
      <w:pPr>
        <w:rPr>
          <w:rFonts w:cs="Times New Roman"/>
        </w:rPr>
      </w:pPr>
      <w:r>
        <w:rPr>
          <w:rFonts w:cs="Times New Roman"/>
        </w:rPr>
        <w:separator/>
      </w:r>
    </w:p>
  </w:footnote>
  <w:footnote w:type="continuationSeparator" w:id="0">
    <w:p w:rsidR="00B4042E" w:rsidRDefault="00B4042E" w:rsidP="003F2CA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rsidP="00855AE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2E" w:rsidRDefault="00B40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0F1"/>
    <w:rsid w:val="00056BD1"/>
    <w:rsid w:val="00084B55"/>
    <w:rsid w:val="001010F1"/>
    <w:rsid w:val="002053A9"/>
    <w:rsid w:val="003F2CAE"/>
    <w:rsid w:val="00452DB6"/>
    <w:rsid w:val="004D4F69"/>
    <w:rsid w:val="00513641"/>
    <w:rsid w:val="005B6371"/>
    <w:rsid w:val="005B7E22"/>
    <w:rsid w:val="00855AE5"/>
    <w:rsid w:val="008D0CB8"/>
    <w:rsid w:val="008F6CFB"/>
    <w:rsid w:val="00905024"/>
    <w:rsid w:val="009F28B0"/>
    <w:rsid w:val="00AA7DD3"/>
    <w:rsid w:val="00B2043A"/>
    <w:rsid w:val="00B4042E"/>
    <w:rsid w:val="00C3143D"/>
    <w:rsid w:val="00D8079E"/>
    <w:rsid w:val="00EF5CB6"/>
    <w:rsid w:val="54FA65E2"/>
    <w:rsid w:val="6E7631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F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C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F2CAE"/>
    <w:rPr>
      <w:rFonts w:cs="Times New Roman"/>
      <w:kern w:val="2"/>
      <w:sz w:val="18"/>
      <w:szCs w:val="18"/>
    </w:rPr>
  </w:style>
  <w:style w:type="paragraph" w:styleId="Footer">
    <w:name w:val="footer"/>
    <w:basedOn w:val="Normal"/>
    <w:link w:val="FooterChar"/>
    <w:uiPriority w:val="99"/>
    <w:rsid w:val="003F2C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F2CA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29754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242</Words>
  <Characters>1386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6</cp:revision>
  <dcterms:created xsi:type="dcterms:W3CDTF">2014-10-29T12:08:00Z</dcterms:created>
  <dcterms:modified xsi:type="dcterms:W3CDTF">2016-06-23T14:08:00Z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