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A47434" w:rsidTr="00C831AF">
        <w:trPr>
          <w:trHeight w:val="482"/>
        </w:trPr>
        <w:tc>
          <w:tcPr>
            <w:tcW w:w="8252" w:type="dxa"/>
            <w:gridSpan w:val="2"/>
            <w:tcBorders>
              <w:top w:val="nil"/>
              <w:bottom w:val="single" w:sz="6" w:space="0" w:color="auto"/>
            </w:tcBorders>
          </w:tcPr>
          <w:p w:rsidR="00C831AF" w:rsidRDefault="00C831AF" w:rsidP="00C831AF">
            <w:pPr>
              <w:numPr>
                <w:ilvl w:val="0"/>
                <w:numId w:val="1"/>
              </w:numPr>
              <w:spacing w:line="360" w:lineRule="exact"/>
              <w:jc w:val="center"/>
              <w:rPr>
                <w:rFonts w:ascii="宋体" w:hAnsi="宋体" w:cs="仿宋_GB2312"/>
                <w:b/>
                <w:sz w:val="36"/>
                <w:szCs w:val="36"/>
              </w:rPr>
            </w:pPr>
            <w:r>
              <w:rPr>
                <w:rFonts w:ascii="宋体" w:hAnsi="宋体" w:cs="仿宋_GB2312" w:hint="eastAsia"/>
                <w:b/>
                <w:sz w:val="36"/>
                <w:szCs w:val="36"/>
              </w:rPr>
              <w:t>行政职权基本信息表（行政处罚）</w:t>
            </w:r>
          </w:p>
          <w:p w:rsidR="00C831AF" w:rsidRDefault="00C831AF" w:rsidP="00C831AF">
            <w:pPr>
              <w:spacing w:line="360" w:lineRule="exact"/>
              <w:rPr>
                <w:rFonts w:ascii="宋体" w:hAnsi="宋体" w:cs="仿宋_GB2312"/>
                <w:b/>
                <w:sz w:val="36"/>
                <w:szCs w:val="36"/>
              </w:rPr>
            </w:pPr>
          </w:p>
          <w:p w:rsidR="00A47434" w:rsidRPr="00B91A89" w:rsidRDefault="00C831AF" w:rsidP="00B91A89">
            <w:pPr>
              <w:spacing w:line="360" w:lineRule="exact"/>
              <w:rPr>
                <w:rFonts w:ascii="仿宋" w:eastAsia="仿宋" w:hAnsi="仿宋" w:cs="仿宋_GB2312"/>
                <w:sz w:val="24"/>
              </w:rPr>
            </w:pPr>
            <w:r w:rsidRPr="00B91A89">
              <w:rPr>
                <w:rFonts w:ascii="仿宋_GB2312" w:eastAsia="仿宋_GB2312" w:hAnsi="仿宋" w:hint="eastAsia"/>
                <w:color w:val="333333"/>
                <w:sz w:val="32"/>
                <w:szCs w:val="32"/>
              </w:rPr>
              <w:t>填报单位：</w:t>
            </w:r>
            <w:r w:rsidRPr="00FB7E8A">
              <w:rPr>
                <w:rFonts w:ascii="仿宋_GB2312" w:eastAsia="仿宋_GB2312" w:hAnsi="仿宋" w:hint="eastAsia"/>
                <w:color w:val="333333"/>
                <w:sz w:val="32"/>
                <w:szCs w:val="32"/>
              </w:rPr>
              <w:t>黄石市西塞山区农林水利局</w:t>
            </w:r>
          </w:p>
        </w:tc>
      </w:tr>
      <w:tr w:rsidR="00A47434" w:rsidTr="00A47434">
        <w:trPr>
          <w:trHeight w:val="446"/>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A47434" w:rsidRPr="00A47434" w:rsidRDefault="00B91A89">
            <w:pP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57153172-9-CF-02500</w:t>
            </w:r>
          </w:p>
        </w:tc>
      </w:tr>
      <w:tr w:rsidR="00A47434" w:rsidRPr="00B91A89" w:rsidTr="00A47434">
        <w:trPr>
          <w:trHeight w:val="425"/>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对违法耕地质量保护条例的处罚</w:t>
            </w:r>
          </w:p>
        </w:tc>
      </w:tr>
      <w:tr w:rsidR="00A47434" w:rsidRPr="00B91A89" w:rsidTr="00A47434">
        <w:trPr>
          <w:trHeight w:val="307"/>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无</w:t>
            </w:r>
          </w:p>
        </w:tc>
      </w:tr>
      <w:tr w:rsidR="00A47434" w:rsidRPr="00B91A89" w:rsidTr="00A47434">
        <w:trPr>
          <w:trHeight w:val="348"/>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2" w:space="0" w:color="000000"/>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西塞山区农林水利</w:t>
            </w:r>
          </w:p>
        </w:tc>
      </w:tr>
      <w:tr w:rsidR="00A47434" w:rsidRPr="00B91A89" w:rsidTr="00A47434">
        <w:trPr>
          <w:trHeight w:val="4051"/>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[法规]《湖北省耕地质量保护条例》（2013年11月29日通过） 第三十三条：建设单位未按照本条例第十二条第二款规定，剥离耕作层土壤的，由县级以上人民政府农业行政主管部门责令限期改正，逾期不改正或者无法改正的，按照耕作层土壤的损坏面积处以每平方米30元以上50元以下罚款。第三十四条：违反本条例第十五条第一款规定，损毁或者非法占用田间基础设施的，由县级以上人民政府农业行政主管部门责令停止违法行为，限期恢复原状或者修复；逾期未恢复原状或者修复的，依法赔偿损失，并由县级以上人民政府农业行政主管部门处以2000元以上1万元以下罚款。第三十五条：违反本条例第十八条第一款规定，生产，销售未依法登记的肥料、土壤调理剂的，由县级以上人民政府农业行政主管部门责令停止违法行为，没收违法产品，并处违法所得1倍以上3倍以下罚款；没有违法所得的，处以5000元以上2万元以下罚款。第三十六：违反本条例第二十八条规定，损毁、擅自移动耕地质量长期定位监测点的基础设施和永久性标志的，由县级以上人民政府农业行政主管部门责令改正，恢复原状；不能恢复原状的，责令赔偿损失，并处1000元以上5000元以下罚款。</w:t>
            </w:r>
          </w:p>
        </w:tc>
      </w:tr>
      <w:tr w:rsidR="00A47434" w:rsidRPr="00B91A89" w:rsidTr="00A47434">
        <w:trPr>
          <w:trHeight w:val="1406"/>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1.未按要求擅自剥离土壤耕作层；2.损坏耕地耕作层，破坏耕作层质量；3.损毁或者非法占用田间基础设施;4.未达到国家或者行业标准生产、销售的肥料、土壤调理剂、农药和除草剂；5.损毁、擅自移动耕地质量长期定位监测点的基础设施和永久性标志。</w:t>
            </w:r>
          </w:p>
        </w:tc>
      </w:tr>
      <w:tr w:rsidR="00A47434" w:rsidRPr="00B91A89" w:rsidTr="00A47434">
        <w:trPr>
          <w:trHeight w:val="478"/>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1.没收非法财物；2.罚款</w:t>
            </w:r>
          </w:p>
        </w:tc>
      </w:tr>
      <w:tr w:rsidR="00A47434" w:rsidRPr="00B91A89" w:rsidTr="00A47434">
        <w:trPr>
          <w:trHeight w:val="2947"/>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一 、违法情节轻微  第三十三条1.违法情形：未按要求擅自剥离耕作层的，根据面积大小、运输与存放距离远近，纠正违法行为；2.处罚标准：限期内纠正了的，可不予处罚。第三十四条1.违法情形：损毁或者非法占用田间基础设施的，根据损毁的范围与程度、农事季节，责令停止违法行为；2.处罚标准：限期内恢复原状或者修复了的，不予处罚。第三十六条1.违法情形：损毁、擅自移动耕地质量长期定位监测点的基础设施和永久性标志的；2.处罚标准：如果违法行为人能将耕地质量监测点基础设施、永久性标志恢复到损害发生前原有的状态，可以免予行政处罚 。二、违法情节严重 第三十三 1.违法情形：损坏耕作层土壤的，逾期不改正或者无法改正的；2.处罚标准：</w:t>
            </w:r>
            <w:r w:rsidRPr="00B91A89">
              <w:rPr>
                <w:rFonts w:ascii="仿宋_GB2312" w:eastAsia="仿宋_GB2312" w:hAnsi="仿宋" w:cs="仿宋_GB2312" w:hint="eastAsia"/>
                <w:color w:val="000000"/>
                <w:kern w:val="0"/>
                <w:sz w:val="24"/>
                <w:szCs w:val="24"/>
              </w:rPr>
              <w:lastRenderedPageBreak/>
              <w:t>按照耕作层土壤的损坏面积处以每平方米30元以上50元以下罚款。第三十四条1.违法情形：损毁或者非法占用田间基础设施的，逾期未恢复原状或者修复的；2.处罚标准：依法赔偿损失，并处以2000元以上1万元以下罚款。第三十五条1.违法情形：违法生产、销售未依法登记的肥料、土壤调理剂的；2.处罚标准：没收违法产品，并处违法所得1倍以上3倍以下罚款；没有违法所得的，处以5000元以上2万元以上罚款。第三十六条1.违法情形：损毁、擅自移动耕地质量长期定位监测点的基础设施和永久性标志的；2.处罚标准：不能恢复原状的，责令赔偿损失，并处1000元以上5000元以下罚款。</w:t>
            </w:r>
          </w:p>
        </w:tc>
      </w:tr>
      <w:tr w:rsidR="00A47434" w:rsidRPr="00B91A89" w:rsidTr="00A47434">
        <w:trPr>
          <w:trHeight w:val="581"/>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lastRenderedPageBreak/>
              <w:t>职权运行流程</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立案→调查取证→审查→告知→决定→送达→执行</w:t>
            </w:r>
          </w:p>
        </w:tc>
      </w:tr>
      <w:tr w:rsidR="00A47434" w:rsidRPr="00B91A89" w:rsidTr="00A47434">
        <w:trPr>
          <w:trHeight w:val="3223"/>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t>责任事项</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仿宋_GB2312" w:hint="eastAsia"/>
                <w:color w:val="000000"/>
                <w:kern w:val="0"/>
                <w:sz w:val="24"/>
                <w:szCs w:val="24"/>
              </w:rPr>
            </w:pPr>
            <w:r w:rsidRPr="00B91A89">
              <w:rPr>
                <w:rFonts w:ascii="仿宋_GB2312" w:eastAsia="仿宋_GB2312" w:hAnsi="仿宋" w:cs="仿宋_GB2312" w:hint="eastAsia"/>
                <w:color w:val="000000"/>
                <w:kern w:val="0"/>
                <w:sz w:val="24"/>
                <w:szCs w:val="24"/>
              </w:rPr>
              <w:t>1.立案责任：通过举报、审查、检查，发现有擅自剥离耕作层、损毁或者非法占用田间基础设施、违法生产、销售未依法登记的肥料、土壤调理剂、损毁、擅自移动耕地质量长期定位监测点的基础设施和永久性标志的，予以审查，决定是否立案。 2.调查取证责任：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3.审理责任：审理案件调查报告，对案件违法事实、证据、调查取证程序、法律适用、处罚种类和幅度、当事人陈述和申辩理由等方面进行审查，提出处理意见（主要证据不足时，以适当的方式补充调查）。 4.告知责任：作出行政处罚决定前，应制作《行政处罚告知书》送达当事人，告知违法事实及其享有的陈述、申辩等权利。符合听证规定的，制作并送达《行政处罚听证告知书》。 5.决定责任：作出处罚决定，制作行政处罚决定书，载明行政处罚告知、当事人陈述申辩或者听证情况等内容。 6.送达责任：行政处罚决定书应当在宣告后当场交付当事人；当事人不在场的，行政机关应当在七日内依照民事诉讼法的有关规定，将行政处罚决定书送达当事人。 7.执行责任：敦促当事人履行行政处罚内容，经催告拒不履行的，依法申请法院强制执行。 8.监管责任：对违反本条例规定的行为进行监督检查。 9.其他法律法规规章文件规定应履行的其他责任。</w:t>
            </w:r>
          </w:p>
        </w:tc>
      </w:tr>
      <w:tr w:rsidR="00A47434" w:rsidRPr="00B91A89" w:rsidTr="00A47434">
        <w:trPr>
          <w:trHeight w:val="6329"/>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hAnsi="Calibri" w:cs="黑体"/>
                <w:color w:val="000000"/>
                <w:kern w:val="0"/>
                <w:sz w:val="24"/>
                <w:szCs w:val="24"/>
              </w:rPr>
            </w:pPr>
            <w:r>
              <w:rPr>
                <w:rFonts w:ascii="黑体" w:eastAsia="黑体" w:hAnsi="Calibri" w:cs="黑体" w:hint="eastAsia"/>
                <w:color w:val="000000"/>
                <w:kern w:val="0"/>
                <w:sz w:val="24"/>
                <w:szCs w:val="24"/>
              </w:rPr>
              <w:lastRenderedPageBreak/>
              <w:t>责任事项依据</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hAnsi="仿宋" w:cs="宋体" w:hint="eastAsia"/>
                <w:color w:val="000000"/>
                <w:kern w:val="0"/>
                <w:sz w:val="24"/>
                <w:szCs w:val="24"/>
              </w:rPr>
            </w:pPr>
            <w:r w:rsidRPr="00B91A89">
              <w:rPr>
                <w:rFonts w:ascii="仿宋_GB2312" w:eastAsia="仿宋_GB2312" w:hAnsi="仿宋" w:cs="仿宋_GB2312" w:hint="eastAsia"/>
                <w:color w:val="000000"/>
                <w:kern w:val="0"/>
                <w:sz w:val="24"/>
                <w:szCs w:val="24"/>
              </w:rPr>
              <w:t>1.</w:t>
            </w:r>
            <w:r w:rsidRPr="00B91A89">
              <w:rPr>
                <w:rFonts w:ascii="仿宋_GB2312" w:eastAsia="仿宋_GB2312" w:hAnsi="仿宋" w:cs="宋体" w:hint="eastAsia"/>
                <w:color w:val="000000"/>
                <w:kern w:val="0"/>
                <w:sz w:val="24"/>
                <w:szCs w:val="24"/>
              </w:rPr>
              <w:t>《农业行政处罚程序规定》（</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年农业部令第</w:t>
            </w:r>
            <w:r w:rsidRPr="00B91A89">
              <w:rPr>
                <w:rFonts w:ascii="仿宋_GB2312" w:eastAsia="仿宋_GB2312" w:hAnsi="仿宋" w:hint="eastAsia"/>
                <w:color w:val="000000"/>
                <w:kern w:val="0"/>
                <w:sz w:val="24"/>
                <w:szCs w:val="24"/>
              </w:rPr>
              <w:t>63</w:t>
            </w:r>
            <w:r w:rsidRPr="00B91A89">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B91A89">
              <w:rPr>
                <w:rFonts w:ascii="仿宋_GB2312" w:eastAsia="仿宋_GB2312" w:hAnsi="仿宋" w:hint="eastAsia"/>
                <w:color w:val="000000"/>
                <w:kern w:val="0"/>
                <w:sz w:val="24"/>
                <w:szCs w:val="24"/>
              </w:rPr>
              <w:t xml:space="preserve"> 2-1.</w:t>
            </w:r>
            <w:r w:rsidRPr="00B91A89">
              <w:rPr>
                <w:rFonts w:ascii="仿宋_GB2312" w:eastAsia="仿宋_GB2312" w:hAnsi="仿宋" w:cs="宋体" w:hint="eastAsia"/>
                <w:color w:val="000000"/>
                <w:kern w:val="0"/>
                <w:sz w:val="24"/>
                <w:szCs w:val="24"/>
              </w:rPr>
              <w:t>《行政处罚法》（</w:t>
            </w:r>
            <w:r w:rsidRPr="00B91A89">
              <w:rPr>
                <w:rFonts w:ascii="仿宋_GB2312" w:eastAsia="仿宋_GB2312" w:hAnsi="仿宋" w:hint="eastAsia"/>
                <w:color w:val="000000"/>
                <w:kern w:val="0"/>
                <w:sz w:val="24"/>
                <w:szCs w:val="24"/>
              </w:rPr>
              <w:t>2009</w:t>
            </w:r>
            <w:r w:rsidRPr="00B91A89">
              <w:rPr>
                <w:rFonts w:ascii="仿宋_GB2312" w:eastAsia="仿宋_GB2312" w:hAnsi="仿宋" w:cs="宋体" w:hint="eastAsia"/>
                <w:color w:val="000000"/>
                <w:kern w:val="0"/>
                <w:sz w:val="24"/>
                <w:szCs w:val="24"/>
              </w:rPr>
              <w:t>年</w:t>
            </w:r>
            <w:r w:rsidRPr="00B91A89">
              <w:rPr>
                <w:rFonts w:ascii="仿宋_GB2312" w:eastAsia="仿宋_GB2312" w:hAnsi="仿宋" w:hint="eastAsia"/>
                <w:color w:val="000000"/>
                <w:kern w:val="0"/>
                <w:sz w:val="24"/>
                <w:szCs w:val="24"/>
              </w:rPr>
              <w:t>8</w:t>
            </w:r>
            <w:r w:rsidRPr="00B91A89">
              <w:rPr>
                <w:rFonts w:ascii="仿宋_GB2312" w:eastAsia="仿宋_GB2312" w:hAnsi="仿宋" w:cs="宋体" w:hint="eastAsia"/>
                <w:color w:val="000000"/>
                <w:kern w:val="0"/>
                <w:sz w:val="24"/>
                <w:szCs w:val="24"/>
              </w:rPr>
              <w:t>月</w:t>
            </w:r>
            <w:r w:rsidRPr="00B91A89">
              <w:rPr>
                <w:rFonts w:ascii="仿宋_GB2312" w:eastAsia="仿宋_GB2312" w:hAnsi="仿宋" w:hint="eastAsia"/>
                <w:color w:val="000000"/>
                <w:kern w:val="0"/>
                <w:sz w:val="24"/>
                <w:szCs w:val="24"/>
              </w:rPr>
              <w:t>27</w:t>
            </w:r>
            <w:r w:rsidRPr="00B91A89">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B91A89">
              <w:rPr>
                <w:rFonts w:ascii="仿宋_GB2312" w:eastAsia="仿宋_GB2312" w:hAnsi="仿宋" w:hint="eastAsia"/>
                <w:color w:val="000000"/>
                <w:kern w:val="0"/>
                <w:sz w:val="24"/>
                <w:szCs w:val="24"/>
              </w:rPr>
              <w:t xml:space="preserve"> 2-2</w:t>
            </w:r>
            <w:r w:rsidRPr="00B91A89">
              <w:rPr>
                <w:rFonts w:ascii="仿宋_GB2312" w:eastAsia="仿宋_GB2312" w:hAnsi="仿宋" w:cs="宋体" w:hint="eastAsia"/>
                <w:color w:val="000000"/>
                <w:kern w:val="0"/>
                <w:sz w:val="24"/>
                <w:szCs w:val="24"/>
              </w:rPr>
              <w:t>《农业行政处罚程序规定》（</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年农业部令第</w:t>
            </w:r>
            <w:r w:rsidRPr="00B91A89">
              <w:rPr>
                <w:rFonts w:ascii="仿宋_GB2312" w:eastAsia="仿宋_GB2312" w:hAnsi="仿宋" w:hint="eastAsia"/>
                <w:color w:val="000000"/>
                <w:kern w:val="0"/>
                <w:sz w:val="24"/>
                <w:szCs w:val="24"/>
              </w:rPr>
              <w:t>63</w:t>
            </w:r>
            <w:r w:rsidRPr="00B91A89">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B91A89">
              <w:rPr>
                <w:rFonts w:ascii="仿宋_GB2312" w:eastAsia="仿宋_GB2312" w:hAnsi="仿宋" w:hint="eastAsia"/>
                <w:color w:val="000000"/>
                <w:kern w:val="0"/>
                <w:sz w:val="24"/>
                <w:szCs w:val="24"/>
              </w:rPr>
              <w:t>2</w:t>
            </w:r>
            <w:r w:rsidRPr="00B91A89">
              <w:rPr>
                <w:rFonts w:ascii="仿宋_GB2312" w:eastAsia="仿宋_GB2312" w:hAnsi="仿宋" w:cs="宋体" w:hint="eastAsia"/>
                <w:color w:val="000000"/>
                <w:kern w:val="0"/>
                <w:sz w:val="24"/>
                <w:szCs w:val="24"/>
              </w:rPr>
              <w:t>人。</w:t>
            </w:r>
            <w:r w:rsidRPr="00B91A89">
              <w:rPr>
                <w:rFonts w:ascii="仿宋_GB2312" w:eastAsia="仿宋_GB2312" w:hAnsi="仿宋" w:hint="eastAsia"/>
                <w:color w:val="000000"/>
                <w:kern w:val="0"/>
                <w:sz w:val="24"/>
                <w:szCs w:val="24"/>
              </w:rPr>
              <w:t xml:space="preserve"> 3.</w:t>
            </w:r>
            <w:r w:rsidRPr="00B91A89">
              <w:rPr>
                <w:rFonts w:ascii="仿宋_GB2312" w:eastAsia="仿宋_GB2312" w:hAnsi="仿宋" w:cs="宋体" w:hint="eastAsia"/>
                <w:color w:val="000000"/>
                <w:kern w:val="0"/>
                <w:sz w:val="24"/>
                <w:szCs w:val="24"/>
              </w:rPr>
              <w:t>《农业行政处罚程序规定》（</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年农业部令第</w:t>
            </w:r>
            <w:r w:rsidRPr="00B91A89">
              <w:rPr>
                <w:rFonts w:ascii="仿宋_GB2312" w:eastAsia="仿宋_GB2312" w:hAnsi="仿宋" w:hint="eastAsia"/>
                <w:color w:val="000000"/>
                <w:kern w:val="0"/>
                <w:sz w:val="24"/>
                <w:szCs w:val="24"/>
              </w:rPr>
              <w:t>63</w:t>
            </w:r>
            <w:r w:rsidRPr="00B91A89">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B91A89">
              <w:rPr>
                <w:rFonts w:ascii="仿宋_GB2312" w:eastAsia="仿宋_GB2312" w:hAnsi="仿宋" w:hint="eastAsia"/>
                <w:color w:val="000000"/>
                <w:kern w:val="0"/>
                <w:sz w:val="24"/>
                <w:szCs w:val="24"/>
              </w:rPr>
              <w:t xml:space="preserve"> 4.</w:t>
            </w:r>
            <w:r w:rsidRPr="00B91A89">
              <w:rPr>
                <w:rFonts w:ascii="仿宋_GB2312" w:eastAsia="仿宋_GB2312" w:hAnsi="仿宋" w:cs="宋体" w:hint="eastAsia"/>
                <w:color w:val="000000"/>
                <w:kern w:val="0"/>
                <w:sz w:val="24"/>
                <w:szCs w:val="24"/>
              </w:rPr>
              <w:t>《农业行政处罚程序规定》（</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年农业部令第</w:t>
            </w:r>
            <w:r w:rsidRPr="00B91A89">
              <w:rPr>
                <w:rFonts w:ascii="仿宋_GB2312" w:eastAsia="仿宋_GB2312" w:hAnsi="仿宋" w:hint="eastAsia"/>
                <w:color w:val="000000"/>
                <w:kern w:val="0"/>
                <w:sz w:val="24"/>
                <w:szCs w:val="24"/>
              </w:rPr>
              <w:t>63</w:t>
            </w:r>
            <w:r w:rsidRPr="00B91A89">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在作出行政处罚决定之前，农业行政处罚机关应当制作《行政处罚事先告知书》，送达当事人，告知拟给予的行政处罚内容及其事实、理由和依据，并告知当事人可以在收到告知书之日起</w:t>
            </w:r>
            <w:r w:rsidRPr="00B91A89">
              <w:rPr>
                <w:rFonts w:ascii="仿宋_GB2312" w:eastAsia="仿宋_GB2312" w:hAnsi="仿宋" w:hint="eastAsia"/>
                <w:color w:val="000000"/>
                <w:kern w:val="0"/>
                <w:sz w:val="24"/>
                <w:szCs w:val="24"/>
              </w:rPr>
              <w:t>3</w:t>
            </w:r>
            <w:r w:rsidRPr="00B91A89">
              <w:rPr>
                <w:rFonts w:ascii="仿宋_GB2312" w:eastAsia="仿宋_GB2312" w:hAnsi="仿宋" w:cs="宋体" w:hint="eastAsia"/>
                <w:color w:val="000000"/>
                <w:kern w:val="0"/>
                <w:sz w:val="24"/>
                <w:szCs w:val="24"/>
              </w:rPr>
              <w:t>日内，进行陈述、申辩。符合听证条件的，告知当事人可以要求听证。</w:t>
            </w:r>
            <w:r w:rsidRPr="00B91A89">
              <w:rPr>
                <w:rFonts w:ascii="仿宋_GB2312" w:eastAsia="仿宋_GB2312" w:hAnsi="仿宋" w:hint="eastAsia"/>
                <w:color w:val="000000"/>
                <w:kern w:val="0"/>
                <w:sz w:val="24"/>
                <w:szCs w:val="24"/>
              </w:rPr>
              <w:t xml:space="preserve"> 5-1.</w:t>
            </w:r>
            <w:r w:rsidRPr="00B91A89">
              <w:rPr>
                <w:rFonts w:ascii="仿宋_GB2312" w:eastAsia="仿宋_GB2312" w:hAnsi="仿宋" w:cs="宋体" w:hint="eastAsia"/>
                <w:color w:val="000000"/>
                <w:kern w:val="0"/>
                <w:sz w:val="24"/>
                <w:szCs w:val="24"/>
              </w:rPr>
              <w:t>《行政处罚法》（</w:t>
            </w:r>
            <w:r w:rsidRPr="00B91A89">
              <w:rPr>
                <w:rFonts w:ascii="仿宋_GB2312" w:eastAsia="仿宋_GB2312" w:hAnsi="仿宋" w:hint="eastAsia"/>
                <w:color w:val="000000"/>
                <w:kern w:val="0"/>
                <w:sz w:val="24"/>
                <w:szCs w:val="24"/>
              </w:rPr>
              <w:t>2009</w:t>
            </w:r>
            <w:r w:rsidRPr="00B91A89">
              <w:rPr>
                <w:rFonts w:ascii="仿宋_GB2312" w:eastAsia="仿宋_GB2312" w:hAnsi="仿宋" w:cs="宋体" w:hint="eastAsia"/>
                <w:color w:val="000000"/>
                <w:kern w:val="0"/>
                <w:sz w:val="24"/>
                <w:szCs w:val="24"/>
              </w:rPr>
              <w:t>年</w:t>
            </w:r>
            <w:r w:rsidRPr="00B91A89">
              <w:rPr>
                <w:rFonts w:ascii="仿宋_GB2312" w:eastAsia="仿宋_GB2312" w:hAnsi="仿宋" w:hint="eastAsia"/>
                <w:color w:val="000000"/>
                <w:kern w:val="0"/>
                <w:sz w:val="24"/>
                <w:szCs w:val="24"/>
              </w:rPr>
              <w:t>8</w:t>
            </w:r>
            <w:r w:rsidRPr="00B91A89">
              <w:rPr>
                <w:rFonts w:ascii="仿宋_GB2312" w:eastAsia="仿宋_GB2312" w:hAnsi="仿宋" w:cs="宋体" w:hint="eastAsia"/>
                <w:color w:val="000000"/>
                <w:kern w:val="0"/>
                <w:sz w:val="24"/>
                <w:szCs w:val="24"/>
              </w:rPr>
              <w:t>月</w:t>
            </w:r>
            <w:r w:rsidRPr="00B91A89">
              <w:rPr>
                <w:rFonts w:ascii="仿宋_GB2312" w:eastAsia="仿宋_GB2312" w:hAnsi="仿宋" w:hint="eastAsia"/>
                <w:color w:val="000000"/>
                <w:kern w:val="0"/>
                <w:sz w:val="24"/>
                <w:szCs w:val="24"/>
              </w:rPr>
              <w:t>27</w:t>
            </w:r>
            <w:r w:rsidRPr="00B91A89">
              <w:rPr>
                <w:rFonts w:ascii="仿宋_GB2312" w:eastAsia="仿宋_GB2312" w:hAnsi="仿宋" w:cs="宋体" w:hint="eastAsia"/>
                <w:color w:val="000000"/>
                <w:kern w:val="0"/>
                <w:sz w:val="24"/>
                <w:szCs w:val="24"/>
              </w:rPr>
              <w:t>日修正）第三十九条</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行政机关依照本法第三十八条的规定给予行政处罚，应当制作行政处罚决定书。……</w:t>
            </w:r>
            <w:r w:rsidRPr="00B91A89">
              <w:rPr>
                <w:rFonts w:ascii="仿宋_GB2312" w:eastAsia="仿宋_GB2312" w:hAnsi="仿宋" w:hint="eastAsia"/>
                <w:color w:val="000000"/>
                <w:kern w:val="0"/>
                <w:sz w:val="24"/>
                <w:szCs w:val="24"/>
              </w:rPr>
              <w:t xml:space="preserve"> 5-2.</w:t>
            </w:r>
            <w:r w:rsidRPr="00B91A89">
              <w:rPr>
                <w:rFonts w:ascii="仿宋_GB2312" w:eastAsia="仿宋_GB2312" w:hAnsi="仿宋" w:cs="宋体" w:hint="eastAsia"/>
                <w:color w:val="000000"/>
                <w:kern w:val="0"/>
                <w:sz w:val="24"/>
                <w:szCs w:val="24"/>
              </w:rPr>
              <w:t>《农业行政处罚程序规定》（</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年农业部令第</w:t>
            </w:r>
            <w:r w:rsidRPr="00B91A89">
              <w:rPr>
                <w:rFonts w:ascii="仿宋_GB2312" w:eastAsia="仿宋_GB2312" w:hAnsi="仿宋" w:hint="eastAsia"/>
                <w:color w:val="000000"/>
                <w:kern w:val="0"/>
                <w:sz w:val="24"/>
                <w:szCs w:val="24"/>
              </w:rPr>
              <w:t>63</w:t>
            </w:r>
            <w:r w:rsidRPr="00B91A89">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B91A89">
              <w:rPr>
                <w:rFonts w:ascii="仿宋_GB2312" w:eastAsia="仿宋_GB2312" w:hAnsi="仿宋" w:hint="eastAsia"/>
                <w:color w:val="000000"/>
                <w:kern w:val="0"/>
                <w:sz w:val="24"/>
                <w:szCs w:val="24"/>
              </w:rPr>
              <w:t xml:space="preserve"> 6-1.</w:t>
            </w:r>
            <w:r w:rsidRPr="00B91A89">
              <w:rPr>
                <w:rFonts w:ascii="仿宋_GB2312" w:eastAsia="仿宋_GB2312" w:hAnsi="仿宋" w:cs="宋体" w:hint="eastAsia"/>
                <w:color w:val="000000"/>
                <w:kern w:val="0"/>
                <w:sz w:val="24"/>
                <w:szCs w:val="24"/>
              </w:rPr>
              <w:t>《行政处罚法》（</w:t>
            </w:r>
            <w:r w:rsidRPr="00B91A89">
              <w:rPr>
                <w:rFonts w:ascii="仿宋_GB2312" w:eastAsia="仿宋_GB2312" w:hAnsi="仿宋" w:hint="eastAsia"/>
                <w:color w:val="000000"/>
                <w:kern w:val="0"/>
                <w:sz w:val="24"/>
                <w:szCs w:val="24"/>
              </w:rPr>
              <w:t>2009</w:t>
            </w:r>
            <w:r w:rsidRPr="00B91A89">
              <w:rPr>
                <w:rFonts w:ascii="仿宋_GB2312" w:eastAsia="仿宋_GB2312" w:hAnsi="仿宋" w:cs="宋体" w:hint="eastAsia"/>
                <w:color w:val="000000"/>
                <w:kern w:val="0"/>
                <w:sz w:val="24"/>
                <w:szCs w:val="24"/>
              </w:rPr>
              <w:t>年</w:t>
            </w:r>
            <w:r w:rsidRPr="00B91A89">
              <w:rPr>
                <w:rFonts w:ascii="仿宋_GB2312" w:eastAsia="仿宋_GB2312" w:hAnsi="仿宋" w:hint="eastAsia"/>
                <w:color w:val="000000"/>
                <w:kern w:val="0"/>
                <w:sz w:val="24"/>
                <w:szCs w:val="24"/>
              </w:rPr>
              <w:t>8</w:t>
            </w:r>
            <w:r w:rsidRPr="00B91A89">
              <w:rPr>
                <w:rFonts w:ascii="仿宋_GB2312" w:eastAsia="仿宋_GB2312" w:hAnsi="仿宋" w:cs="宋体" w:hint="eastAsia"/>
                <w:color w:val="000000"/>
                <w:kern w:val="0"/>
                <w:sz w:val="24"/>
                <w:szCs w:val="24"/>
              </w:rPr>
              <w:t>月</w:t>
            </w:r>
            <w:r w:rsidRPr="00B91A89">
              <w:rPr>
                <w:rFonts w:ascii="仿宋_GB2312" w:eastAsia="仿宋_GB2312" w:hAnsi="仿宋" w:hint="eastAsia"/>
                <w:color w:val="000000"/>
                <w:kern w:val="0"/>
                <w:sz w:val="24"/>
                <w:szCs w:val="24"/>
              </w:rPr>
              <w:t>27</w:t>
            </w:r>
            <w:r w:rsidRPr="00B91A89">
              <w:rPr>
                <w:rFonts w:ascii="仿宋_GB2312" w:eastAsia="仿宋_GB2312" w:hAnsi="仿宋" w:cs="宋体" w:hint="eastAsia"/>
                <w:color w:val="000000"/>
                <w:kern w:val="0"/>
                <w:sz w:val="24"/>
                <w:szCs w:val="24"/>
              </w:rPr>
              <w:t>日修正）第四十条</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B91A89">
              <w:rPr>
                <w:rFonts w:ascii="仿宋_GB2312" w:eastAsia="仿宋_GB2312" w:hAnsi="仿宋" w:hint="eastAsia"/>
                <w:color w:val="000000"/>
                <w:kern w:val="0"/>
                <w:sz w:val="24"/>
                <w:szCs w:val="24"/>
              </w:rPr>
              <w:t xml:space="preserve"> 6-2.</w:t>
            </w:r>
            <w:r w:rsidRPr="00B91A89">
              <w:rPr>
                <w:rFonts w:ascii="仿宋_GB2312" w:eastAsia="仿宋_GB2312" w:hAnsi="仿宋" w:cs="宋体" w:hint="eastAsia"/>
                <w:color w:val="000000"/>
                <w:kern w:val="0"/>
                <w:sz w:val="24"/>
                <w:szCs w:val="24"/>
              </w:rPr>
              <w:t>《农业行政处罚程序规定》（</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年农业部令第</w:t>
            </w:r>
            <w:r w:rsidRPr="00B91A89">
              <w:rPr>
                <w:rFonts w:ascii="仿宋_GB2312" w:eastAsia="仿宋_GB2312" w:hAnsi="仿宋" w:hint="eastAsia"/>
                <w:color w:val="000000"/>
                <w:kern w:val="0"/>
                <w:sz w:val="24"/>
                <w:szCs w:val="24"/>
              </w:rPr>
              <w:t>63</w:t>
            </w:r>
            <w:r w:rsidRPr="00B91A89">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B91A89">
              <w:rPr>
                <w:rFonts w:ascii="仿宋_GB2312" w:eastAsia="仿宋_GB2312" w:hAnsi="仿宋" w:hint="eastAsia"/>
                <w:color w:val="000000"/>
                <w:kern w:val="0"/>
                <w:sz w:val="24"/>
                <w:szCs w:val="24"/>
              </w:rPr>
              <w:t>7</w:t>
            </w:r>
            <w:r w:rsidRPr="00B91A89">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w:t>
            </w:r>
            <w:r w:rsidRPr="00B91A89">
              <w:rPr>
                <w:rFonts w:ascii="仿宋_GB2312" w:eastAsia="仿宋_GB2312" w:hAnsi="仿宋" w:cs="宋体" w:hint="eastAsia"/>
                <w:color w:val="000000"/>
                <w:kern w:val="0"/>
                <w:sz w:val="24"/>
                <w:szCs w:val="24"/>
              </w:rPr>
              <w:lastRenderedPageBreak/>
              <w:t>挂号回执上注明的收件日期为送达日期；公告送达的，自发出公告之日起经过</w:t>
            </w:r>
            <w:r w:rsidRPr="00B91A89">
              <w:rPr>
                <w:rFonts w:ascii="仿宋_GB2312" w:eastAsia="仿宋_GB2312" w:hAnsi="仿宋" w:hint="eastAsia"/>
                <w:color w:val="000000"/>
                <w:kern w:val="0"/>
                <w:sz w:val="24"/>
                <w:szCs w:val="24"/>
              </w:rPr>
              <w:t>60</w:t>
            </w:r>
            <w:r w:rsidRPr="00B91A89">
              <w:rPr>
                <w:rFonts w:ascii="仿宋_GB2312" w:eastAsia="仿宋_GB2312" w:hAnsi="仿宋" w:cs="宋体" w:hint="eastAsia"/>
                <w:color w:val="000000"/>
                <w:kern w:val="0"/>
                <w:sz w:val="24"/>
                <w:szCs w:val="24"/>
              </w:rPr>
              <w:t>天，即视为送达。</w:t>
            </w:r>
            <w:r w:rsidRPr="00B91A89">
              <w:rPr>
                <w:rFonts w:ascii="仿宋_GB2312" w:eastAsia="仿宋_GB2312" w:hAnsi="仿宋" w:hint="eastAsia"/>
                <w:color w:val="000000"/>
                <w:kern w:val="0"/>
                <w:sz w:val="24"/>
                <w:szCs w:val="24"/>
              </w:rPr>
              <w:t xml:space="preserve"> 7-1.</w:t>
            </w:r>
            <w:r w:rsidRPr="00B91A89">
              <w:rPr>
                <w:rFonts w:ascii="仿宋_GB2312" w:eastAsia="仿宋_GB2312" w:hAnsi="仿宋" w:cs="宋体" w:hint="eastAsia"/>
                <w:color w:val="000000"/>
                <w:kern w:val="0"/>
                <w:sz w:val="24"/>
                <w:szCs w:val="24"/>
              </w:rPr>
              <w:t>《行政处罚法》（</w:t>
            </w:r>
            <w:r w:rsidRPr="00B91A89">
              <w:rPr>
                <w:rFonts w:ascii="仿宋_GB2312" w:eastAsia="仿宋_GB2312" w:hAnsi="仿宋" w:hint="eastAsia"/>
                <w:color w:val="000000"/>
                <w:kern w:val="0"/>
                <w:sz w:val="24"/>
                <w:szCs w:val="24"/>
              </w:rPr>
              <w:t>2009</w:t>
            </w:r>
            <w:r w:rsidRPr="00B91A89">
              <w:rPr>
                <w:rFonts w:ascii="仿宋_GB2312" w:eastAsia="仿宋_GB2312" w:hAnsi="仿宋" w:cs="宋体" w:hint="eastAsia"/>
                <w:color w:val="000000"/>
                <w:kern w:val="0"/>
                <w:sz w:val="24"/>
                <w:szCs w:val="24"/>
              </w:rPr>
              <w:t>年</w:t>
            </w:r>
            <w:r w:rsidRPr="00B91A89">
              <w:rPr>
                <w:rFonts w:ascii="仿宋_GB2312" w:eastAsia="仿宋_GB2312" w:hAnsi="仿宋" w:hint="eastAsia"/>
                <w:color w:val="000000"/>
                <w:kern w:val="0"/>
                <w:sz w:val="24"/>
                <w:szCs w:val="24"/>
              </w:rPr>
              <w:t>8</w:t>
            </w:r>
            <w:r w:rsidRPr="00B91A89">
              <w:rPr>
                <w:rFonts w:ascii="仿宋_GB2312" w:eastAsia="仿宋_GB2312" w:hAnsi="仿宋" w:cs="宋体" w:hint="eastAsia"/>
                <w:color w:val="000000"/>
                <w:kern w:val="0"/>
                <w:sz w:val="24"/>
                <w:szCs w:val="24"/>
              </w:rPr>
              <w:t>月</w:t>
            </w:r>
            <w:r w:rsidRPr="00B91A89">
              <w:rPr>
                <w:rFonts w:ascii="仿宋_GB2312" w:eastAsia="仿宋_GB2312" w:hAnsi="仿宋" w:hint="eastAsia"/>
                <w:color w:val="000000"/>
                <w:kern w:val="0"/>
                <w:sz w:val="24"/>
                <w:szCs w:val="24"/>
              </w:rPr>
              <w:t>27</w:t>
            </w:r>
            <w:r w:rsidRPr="00B91A89">
              <w:rPr>
                <w:rFonts w:ascii="仿宋_GB2312" w:eastAsia="仿宋_GB2312" w:hAnsi="仿宋" w:cs="宋体" w:hint="eastAsia"/>
                <w:color w:val="000000"/>
                <w:kern w:val="0"/>
                <w:sz w:val="24"/>
                <w:szCs w:val="24"/>
              </w:rPr>
              <w:t>日修正）第四十四条</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B91A89">
              <w:rPr>
                <w:rFonts w:ascii="仿宋_GB2312" w:eastAsia="仿宋_GB2312" w:hAnsi="仿宋" w:hint="eastAsia"/>
                <w:color w:val="000000"/>
                <w:kern w:val="0"/>
                <w:sz w:val="24"/>
                <w:szCs w:val="24"/>
              </w:rPr>
              <w:t xml:space="preserve"> 7-2.</w:t>
            </w:r>
            <w:r w:rsidRPr="00B91A89">
              <w:rPr>
                <w:rFonts w:ascii="仿宋_GB2312" w:eastAsia="仿宋_GB2312" w:hAnsi="仿宋" w:cs="宋体" w:hint="eastAsia"/>
                <w:color w:val="000000"/>
                <w:kern w:val="0"/>
                <w:sz w:val="24"/>
                <w:szCs w:val="24"/>
              </w:rPr>
              <w:t>《行政强制法》（</w:t>
            </w:r>
            <w:r w:rsidRPr="00B91A89">
              <w:rPr>
                <w:rFonts w:ascii="仿宋_GB2312" w:eastAsia="仿宋_GB2312" w:hAnsi="仿宋" w:hint="eastAsia"/>
                <w:color w:val="000000"/>
                <w:kern w:val="0"/>
                <w:sz w:val="24"/>
                <w:szCs w:val="24"/>
              </w:rPr>
              <w:t>2011</w:t>
            </w:r>
            <w:r w:rsidRPr="00B91A89">
              <w:rPr>
                <w:rFonts w:ascii="仿宋_GB2312" w:eastAsia="仿宋_GB2312" w:hAnsi="仿宋" w:cs="宋体" w:hint="eastAsia"/>
                <w:color w:val="000000"/>
                <w:kern w:val="0"/>
                <w:sz w:val="24"/>
                <w:szCs w:val="24"/>
              </w:rPr>
              <w:t>年</w:t>
            </w:r>
            <w:r w:rsidRPr="00B91A89">
              <w:rPr>
                <w:rFonts w:ascii="仿宋_GB2312" w:eastAsia="仿宋_GB2312" w:hAnsi="仿宋" w:hint="eastAsia"/>
                <w:color w:val="000000"/>
                <w:kern w:val="0"/>
                <w:sz w:val="24"/>
                <w:szCs w:val="24"/>
              </w:rPr>
              <w:t>6</w:t>
            </w:r>
            <w:r w:rsidRPr="00B91A89">
              <w:rPr>
                <w:rFonts w:ascii="仿宋_GB2312" w:eastAsia="仿宋_GB2312" w:hAnsi="仿宋" w:cs="宋体" w:hint="eastAsia"/>
                <w:color w:val="000000"/>
                <w:kern w:val="0"/>
                <w:sz w:val="24"/>
                <w:szCs w:val="24"/>
              </w:rPr>
              <w:t>月</w:t>
            </w:r>
            <w:r w:rsidRPr="00B91A89">
              <w:rPr>
                <w:rFonts w:ascii="仿宋_GB2312" w:eastAsia="仿宋_GB2312" w:hAnsi="仿宋" w:hint="eastAsia"/>
                <w:color w:val="000000"/>
                <w:kern w:val="0"/>
                <w:sz w:val="24"/>
                <w:szCs w:val="24"/>
              </w:rPr>
              <w:t>30</w:t>
            </w:r>
            <w:r w:rsidRPr="00B91A89">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B91A89">
              <w:rPr>
                <w:rFonts w:ascii="仿宋_GB2312" w:eastAsia="仿宋_GB2312" w:hAnsi="仿宋" w:hint="eastAsia"/>
                <w:color w:val="000000"/>
                <w:kern w:val="0"/>
                <w:sz w:val="24"/>
                <w:szCs w:val="24"/>
              </w:rPr>
              <w:t xml:space="preserve"> 8-1</w:t>
            </w:r>
            <w:r w:rsidRPr="00B91A89">
              <w:rPr>
                <w:rFonts w:ascii="仿宋_GB2312" w:eastAsia="仿宋_GB2312" w:hAnsi="仿宋" w:cs="宋体" w:hint="eastAsia"/>
                <w:color w:val="000000"/>
                <w:kern w:val="0"/>
                <w:sz w:val="24"/>
                <w:szCs w:val="24"/>
              </w:rPr>
              <w:t>《行政处罚法》（</w:t>
            </w:r>
            <w:r w:rsidRPr="00B91A89">
              <w:rPr>
                <w:rFonts w:ascii="仿宋_GB2312" w:eastAsia="仿宋_GB2312" w:hAnsi="仿宋" w:hint="eastAsia"/>
                <w:color w:val="000000"/>
                <w:kern w:val="0"/>
                <w:sz w:val="24"/>
                <w:szCs w:val="24"/>
              </w:rPr>
              <w:t>1996</w:t>
            </w:r>
            <w:r w:rsidRPr="00B91A89">
              <w:rPr>
                <w:rFonts w:ascii="仿宋_GB2312" w:eastAsia="仿宋_GB2312" w:hAnsi="仿宋" w:cs="宋体" w:hint="eastAsia"/>
                <w:color w:val="000000"/>
                <w:kern w:val="0"/>
                <w:sz w:val="24"/>
                <w:szCs w:val="24"/>
              </w:rPr>
              <w:t>年</w:t>
            </w:r>
            <w:r w:rsidRPr="00B91A89">
              <w:rPr>
                <w:rFonts w:ascii="仿宋_GB2312" w:eastAsia="仿宋_GB2312" w:hAnsi="仿宋" w:hint="eastAsia"/>
                <w:color w:val="000000"/>
                <w:kern w:val="0"/>
                <w:sz w:val="24"/>
                <w:szCs w:val="24"/>
              </w:rPr>
              <w:t>3</w:t>
            </w:r>
            <w:r w:rsidRPr="00B91A89">
              <w:rPr>
                <w:rFonts w:ascii="仿宋_GB2312" w:eastAsia="仿宋_GB2312" w:hAnsi="仿宋" w:cs="宋体" w:hint="eastAsia"/>
                <w:color w:val="000000"/>
                <w:kern w:val="0"/>
                <w:sz w:val="24"/>
                <w:szCs w:val="24"/>
              </w:rPr>
              <w:t>月</w:t>
            </w:r>
            <w:r w:rsidRPr="00B91A89">
              <w:rPr>
                <w:rFonts w:ascii="仿宋_GB2312" w:eastAsia="仿宋_GB2312" w:hAnsi="仿宋" w:hint="eastAsia"/>
                <w:color w:val="000000"/>
                <w:kern w:val="0"/>
                <w:sz w:val="24"/>
                <w:szCs w:val="24"/>
              </w:rPr>
              <w:t>17</w:t>
            </w:r>
            <w:r w:rsidRPr="00B91A89">
              <w:rPr>
                <w:rFonts w:ascii="仿宋_GB2312" w:eastAsia="仿宋_GB2312" w:hAnsi="仿宋" w:cs="宋体" w:hint="eastAsia"/>
                <w:color w:val="000000"/>
                <w:kern w:val="0"/>
                <w:sz w:val="24"/>
                <w:szCs w:val="24"/>
              </w:rPr>
              <w:t>日通过）</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第四十六条第一款</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作出罚款决定的行政机关应当与收缴罚款的机构分离。</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第三款</w:t>
            </w:r>
            <w:r w:rsidRPr="00B91A89">
              <w:rPr>
                <w:rFonts w:ascii="仿宋_GB2312" w:eastAsia="仿宋_GB2312" w:hAnsi="仿宋" w:hint="eastAsia"/>
                <w:color w:val="000000"/>
                <w:kern w:val="0"/>
                <w:sz w:val="24"/>
                <w:szCs w:val="24"/>
              </w:rPr>
              <w:t xml:space="preserve"> </w:t>
            </w:r>
            <w:r w:rsidRPr="00B91A89">
              <w:rPr>
                <w:rFonts w:ascii="仿宋_GB2312" w:eastAsia="仿宋_GB2312" w:hAnsi="仿宋" w:cs="宋体" w:hint="eastAsia"/>
                <w:color w:val="000000"/>
                <w:kern w:val="0"/>
                <w:sz w:val="24"/>
                <w:szCs w:val="24"/>
              </w:rPr>
              <w:t>当事人应当自收到行政处罚决定书之日起</w:t>
            </w:r>
            <w:r w:rsidRPr="00B91A89">
              <w:rPr>
                <w:rFonts w:ascii="仿宋_GB2312" w:eastAsia="仿宋_GB2312" w:hAnsi="仿宋" w:hint="eastAsia"/>
                <w:color w:val="000000"/>
                <w:kern w:val="0"/>
                <w:sz w:val="24"/>
                <w:szCs w:val="24"/>
              </w:rPr>
              <w:t>15</w:t>
            </w:r>
            <w:r w:rsidRPr="00B91A89">
              <w:rPr>
                <w:rFonts w:ascii="仿宋_GB2312" w:eastAsia="仿宋_GB2312" w:hAnsi="仿宋" w:cs="宋体" w:hint="eastAsia"/>
                <w:color w:val="000000"/>
                <w:kern w:val="0"/>
                <w:sz w:val="24"/>
                <w:szCs w:val="24"/>
              </w:rPr>
              <w:t>日内，到制定的银行缴纳罚款。银行应当收受罚款，并将罚款直接上缴国库。</w:t>
            </w:r>
          </w:p>
        </w:tc>
      </w:tr>
      <w:tr w:rsidR="00A47434" w:rsidRPr="00B91A89" w:rsidTr="00A47434">
        <w:trPr>
          <w:trHeight w:val="4238"/>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职责边界</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cs="仿宋_GB2312" w:hint="eastAsia"/>
                <w:color w:val="000000"/>
                <w:kern w:val="0"/>
                <w:sz w:val="24"/>
                <w:szCs w:val="24"/>
              </w:rPr>
            </w:pPr>
            <w:r w:rsidRPr="00B91A89">
              <w:rPr>
                <w:rFonts w:ascii="仿宋_GB2312" w:eastAsia="仿宋_GB2312" w:cs="仿宋_GB2312" w:hint="eastAsia"/>
                <w:color w:val="000000"/>
                <w:kern w:val="0"/>
                <w:sz w:val="24"/>
                <w:szCs w:val="24"/>
              </w:rPr>
              <w:t>一、责任分工                                                                                 1.市级：对市辖区内“ 擅自剥离耕作层、损毁或者非法占用田间基础设施、违法生产、销售未依法登记的肥料、土壤调理剂、损毁、擅自移动耕地质量长期定位监测点的基础设施和永久性标志的的违法案件”查处工作；2.县级：对县辖区内“  擅自剥离耕作层、损毁或者非法占用田间基础设施、违法生产、销售未依法登记的肥料、土壤调理剂、损毁、擅自移动耕地质量长期定位监测点的基础设施和永久性标志的违法案件”查处工作。                                                                            二、相关依据                                                                                《湖北省耕地质量保护条例》第三十三条：建设单位未按照本条例第十二条第二款规定，剥离耕作层土壤的，由县级以上人民政府农业行政主管部门责令限期改正，逾期不改正或者无法改正的，按照耕作层土壤的损坏面积处以每平方米30元以上50元以下罚款。第三十四条：违反本条例第十五条第一款规定，损毁或者非法占用田间基础设施的，由县级以上人民政府农业行政主管部门责令停止违法行为，限期恢复原状或者修复；逾期未恢复原状或者修复的，依法赔偿损失，并由县级以上人民政府农业行政主管部门处以2000元以上1万元以下罚款。第三十五条：违反本条例第十八条第一款规定，生产，销售未依法登记的肥料、土壤调理剂的，由县级以上人民政府农业行政主管部门责令停止违法行为，没收违法产品，并处违法所得1倍以上3倍以下罚款；没有违法所得的，处以5000元以上2万元以下罚款。第三十六：违反本条例第二十八条规定，损毁、擅自移动</w:t>
            </w:r>
            <w:r w:rsidRPr="00B91A89">
              <w:rPr>
                <w:rFonts w:ascii="仿宋_GB2312" w:eastAsia="仿宋_GB2312" w:cs="仿宋_GB2312" w:hint="eastAsia"/>
                <w:color w:val="000000"/>
                <w:kern w:val="0"/>
                <w:sz w:val="24"/>
                <w:szCs w:val="24"/>
              </w:rPr>
              <w:lastRenderedPageBreak/>
              <w:t>耕地质量长期定位监测点的基础设施和永久性标志的，由县级以上人民政府农业行政主管部门责令改正，恢复原状；不能恢复原状的，责令赔偿损失，并处1000元以上5000元以下罚款。</w:t>
            </w:r>
          </w:p>
        </w:tc>
      </w:tr>
      <w:tr w:rsidR="00A47434" w:rsidRPr="00B91A89" w:rsidTr="00A47434">
        <w:trPr>
          <w:trHeight w:val="305"/>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承办机构</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cs="仿宋_GB2312" w:hint="eastAsia"/>
                <w:color w:val="000000"/>
                <w:kern w:val="0"/>
                <w:sz w:val="24"/>
                <w:szCs w:val="24"/>
              </w:rPr>
            </w:pPr>
            <w:r w:rsidRPr="00B91A89">
              <w:rPr>
                <w:rFonts w:ascii="仿宋_GB2312" w:eastAsia="仿宋_GB2312" w:cs="仿宋_GB2312" w:hint="eastAsia"/>
                <w:color w:val="000000"/>
                <w:kern w:val="0"/>
                <w:sz w:val="24"/>
                <w:szCs w:val="24"/>
              </w:rPr>
              <w:t>西塞山区农林水利局</w:t>
            </w:r>
          </w:p>
        </w:tc>
      </w:tr>
      <w:tr w:rsidR="00A47434" w:rsidRPr="00B91A89" w:rsidTr="00A47434">
        <w:trPr>
          <w:trHeight w:val="305"/>
        </w:trPr>
        <w:tc>
          <w:tcPr>
            <w:tcW w:w="1709" w:type="dxa"/>
            <w:tcBorders>
              <w:top w:val="single" w:sz="6" w:space="0" w:color="auto"/>
              <w:left w:val="single" w:sz="6" w:space="0" w:color="auto"/>
              <w:bottom w:val="single" w:sz="6" w:space="0" w:color="auto"/>
              <w:right w:val="single" w:sz="6" w:space="0" w:color="auto"/>
            </w:tcBorders>
          </w:tcPr>
          <w:p w:rsidR="00A47434" w:rsidRDefault="00A47434">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543" w:type="dxa"/>
            <w:tcBorders>
              <w:top w:val="single" w:sz="6" w:space="0" w:color="auto"/>
              <w:left w:val="single" w:sz="6" w:space="0" w:color="auto"/>
              <w:bottom w:val="single" w:sz="6" w:space="0" w:color="auto"/>
              <w:right w:val="single" w:sz="6" w:space="0" w:color="auto"/>
            </w:tcBorders>
          </w:tcPr>
          <w:p w:rsidR="00A47434" w:rsidRPr="00B91A89" w:rsidRDefault="00A47434">
            <w:pPr>
              <w:autoSpaceDE w:val="0"/>
              <w:autoSpaceDN w:val="0"/>
              <w:adjustRightInd w:val="0"/>
              <w:jc w:val="left"/>
              <w:rPr>
                <w:rFonts w:ascii="仿宋_GB2312" w:eastAsia="仿宋_GB2312" w:cs="仿宋_GB2312" w:hint="eastAsia"/>
                <w:color w:val="000000"/>
                <w:kern w:val="0"/>
                <w:sz w:val="24"/>
                <w:szCs w:val="24"/>
              </w:rPr>
            </w:pPr>
            <w:r w:rsidRPr="00B91A89">
              <w:rPr>
                <w:rFonts w:ascii="仿宋_GB2312" w:eastAsia="仿宋_GB2312" w:cs="仿宋_GB2312" w:hint="eastAsia"/>
                <w:color w:val="000000"/>
                <w:kern w:val="0"/>
                <w:sz w:val="24"/>
                <w:szCs w:val="24"/>
              </w:rPr>
              <w:t>0714-6482289 区政府办公大楼819室</w:t>
            </w:r>
          </w:p>
        </w:tc>
      </w:tr>
      <w:tr w:rsidR="00D40515" w:rsidRPr="00B91A89" w:rsidTr="00A47434">
        <w:trPr>
          <w:trHeight w:val="305"/>
        </w:trPr>
        <w:tc>
          <w:tcPr>
            <w:tcW w:w="1709" w:type="dxa"/>
            <w:tcBorders>
              <w:top w:val="single" w:sz="6" w:space="0" w:color="auto"/>
              <w:left w:val="single" w:sz="6" w:space="0" w:color="auto"/>
              <w:bottom w:val="single" w:sz="6" w:space="0" w:color="auto"/>
              <w:right w:val="single" w:sz="6" w:space="0" w:color="auto"/>
            </w:tcBorders>
          </w:tcPr>
          <w:p w:rsidR="00D40515" w:rsidRDefault="00D4051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543" w:type="dxa"/>
            <w:tcBorders>
              <w:top w:val="single" w:sz="6" w:space="0" w:color="auto"/>
              <w:left w:val="single" w:sz="6" w:space="0" w:color="auto"/>
              <w:bottom w:val="single" w:sz="6" w:space="0" w:color="auto"/>
              <w:right w:val="single" w:sz="6" w:space="0" w:color="auto"/>
            </w:tcBorders>
          </w:tcPr>
          <w:p w:rsidR="00D40515" w:rsidRPr="00B91A89" w:rsidRDefault="00D40515" w:rsidP="008F6CFB">
            <w:pPr>
              <w:widowControl/>
              <w:spacing w:line="360" w:lineRule="exact"/>
              <w:rPr>
                <w:rFonts w:ascii="仿宋_GB2312" w:eastAsia="仿宋_GB2312" w:hAnsi="仿宋" w:hint="eastAsia"/>
                <w:color w:val="333333"/>
                <w:sz w:val="24"/>
                <w:szCs w:val="24"/>
              </w:rPr>
            </w:pPr>
            <w:r w:rsidRPr="00B91A89">
              <w:rPr>
                <w:rFonts w:ascii="仿宋_GB2312" w:eastAsia="仿宋_GB2312" w:hAnsi="仿宋" w:hint="eastAsia"/>
                <w:color w:val="333333"/>
                <w:sz w:val="24"/>
                <w:szCs w:val="24"/>
              </w:rPr>
              <w:t>地址：西塞山区农林水利局 电话：0714-6482862</w:t>
            </w:r>
          </w:p>
          <w:p w:rsidR="00D40515" w:rsidRPr="00B91A89" w:rsidRDefault="00D40515" w:rsidP="008F6CFB">
            <w:pPr>
              <w:autoSpaceDE w:val="0"/>
              <w:autoSpaceDN w:val="0"/>
              <w:adjustRightInd w:val="0"/>
              <w:jc w:val="left"/>
              <w:rPr>
                <w:rFonts w:ascii="仿宋_GB2312" w:eastAsia="仿宋_GB2312" w:cs="仿宋" w:hint="eastAsia"/>
                <w:color w:val="000000"/>
                <w:kern w:val="0"/>
                <w:sz w:val="24"/>
                <w:szCs w:val="24"/>
              </w:rPr>
            </w:pPr>
            <w:r w:rsidRPr="00B91A89">
              <w:rPr>
                <w:rFonts w:ascii="仿宋_GB2312" w:eastAsia="仿宋_GB2312" w:hAnsi="仿宋" w:hint="eastAsia"/>
                <w:color w:val="333333"/>
                <w:sz w:val="24"/>
                <w:szCs w:val="24"/>
              </w:rPr>
              <w:t>邮编：435000      邮箱：xssnlj@163.com</w:t>
            </w:r>
          </w:p>
        </w:tc>
      </w:tr>
      <w:tr w:rsidR="00D40515" w:rsidRPr="00B91A89" w:rsidTr="00A47434">
        <w:trPr>
          <w:trHeight w:val="391"/>
        </w:trPr>
        <w:tc>
          <w:tcPr>
            <w:tcW w:w="1709" w:type="dxa"/>
            <w:tcBorders>
              <w:top w:val="single" w:sz="6" w:space="0" w:color="auto"/>
              <w:left w:val="single" w:sz="6" w:space="0" w:color="auto"/>
              <w:bottom w:val="single" w:sz="6" w:space="0" w:color="auto"/>
              <w:right w:val="single" w:sz="6" w:space="0" w:color="auto"/>
            </w:tcBorders>
          </w:tcPr>
          <w:p w:rsidR="00D40515" w:rsidRDefault="00D40515">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543" w:type="dxa"/>
            <w:tcBorders>
              <w:top w:val="single" w:sz="6" w:space="0" w:color="auto"/>
              <w:left w:val="single" w:sz="6" w:space="0" w:color="auto"/>
              <w:bottom w:val="single" w:sz="6" w:space="0" w:color="auto"/>
              <w:right w:val="single" w:sz="6" w:space="0" w:color="auto"/>
            </w:tcBorders>
          </w:tcPr>
          <w:p w:rsidR="00D40515" w:rsidRPr="00B91A89" w:rsidRDefault="00D40515">
            <w:pPr>
              <w:autoSpaceDE w:val="0"/>
              <w:autoSpaceDN w:val="0"/>
              <w:adjustRightInd w:val="0"/>
              <w:jc w:val="left"/>
              <w:rPr>
                <w:rFonts w:ascii="仿宋_GB2312" w:eastAsia="仿宋_GB2312" w:cs="仿宋_GB2312" w:hint="eastAsia"/>
                <w:color w:val="000000"/>
                <w:kern w:val="0"/>
                <w:sz w:val="24"/>
                <w:szCs w:val="24"/>
              </w:rPr>
            </w:pPr>
          </w:p>
        </w:tc>
      </w:tr>
    </w:tbl>
    <w:p w:rsidR="00DF78D8" w:rsidRPr="00FA605F" w:rsidRDefault="00856196" w:rsidP="00FA605F">
      <w:pPr>
        <w:jc w:val="center"/>
        <w:rPr>
          <w:b/>
          <w:sz w:val="32"/>
          <w:szCs w:val="32"/>
        </w:rPr>
      </w:pPr>
      <w:r w:rsidRPr="00856196">
        <w:rPr>
          <w:rFonts w:hint="eastAsia"/>
          <w:b/>
          <w:sz w:val="32"/>
          <w:szCs w:val="32"/>
        </w:rPr>
        <w:lastRenderedPageBreak/>
        <w:t>违反耕地质量保护条例的处罚</w:t>
      </w:r>
      <w:r w:rsidR="00FA605F" w:rsidRPr="00FA605F">
        <w:rPr>
          <w:rFonts w:hint="eastAsia"/>
          <w:b/>
          <w:sz w:val="32"/>
          <w:szCs w:val="32"/>
        </w:rPr>
        <w:t>流程图</w:t>
      </w:r>
      <w:r w:rsidR="00F00F89" w:rsidRPr="00FA605F">
        <w:rPr>
          <w:b/>
          <w:noProof/>
          <w:sz w:val="32"/>
          <w:szCs w:val="32"/>
        </w:rPr>
        <w:drawing>
          <wp:anchor distT="0" distB="0" distL="114300" distR="114300" simplePos="0" relativeHeight="251658240" behindDoc="0" locked="0" layoutInCell="1" allowOverlap="1">
            <wp:simplePos x="0" y="0"/>
            <wp:positionH relativeFrom="column">
              <wp:posOffset>-46355</wp:posOffset>
            </wp:positionH>
            <wp:positionV relativeFrom="paragraph">
              <wp:posOffset>881380</wp:posOffset>
            </wp:positionV>
            <wp:extent cx="5409565" cy="7347585"/>
            <wp:effectExtent l="19050" t="0" r="635" b="0"/>
            <wp:wrapSquare wrapText="bothSides"/>
            <wp:docPr id="2" name="Picture 1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8" cstate="print"/>
                    <a:srcRect/>
                    <a:stretch>
                      <a:fillRect/>
                    </a:stretch>
                  </pic:blipFill>
                  <pic:spPr bwMode="auto">
                    <a:xfrm>
                      <a:off x="0" y="0"/>
                      <a:ext cx="5409565" cy="7347585"/>
                    </a:xfrm>
                    <a:prstGeom prst="rect">
                      <a:avLst/>
                    </a:prstGeom>
                    <a:noFill/>
                    <a:ln w="9525">
                      <a:noFill/>
                      <a:miter lim="800000"/>
                      <a:headEnd/>
                      <a:tailEnd/>
                    </a:ln>
                  </pic:spPr>
                </pic:pic>
              </a:graphicData>
            </a:graphic>
          </wp:anchor>
        </w:drawing>
      </w:r>
    </w:p>
    <w:sectPr w:rsidR="00DF78D8" w:rsidRPr="00FA605F" w:rsidSect="00DF7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82" w:rsidRPr="00AB03F1" w:rsidRDefault="001F6582" w:rsidP="00E229AB">
      <w:pPr>
        <w:rPr>
          <w:rFonts w:ascii="Verdana" w:eastAsia="仿宋_GB2312" w:hAnsi="Verdana" w:cs="Verdana"/>
          <w:kern w:val="0"/>
          <w:sz w:val="24"/>
          <w:lang w:eastAsia="en-US"/>
        </w:rPr>
      </w:pPr>
      <w:r>
        <w:separator/>
      </w:r>
    </w:p>
  </w:endnote>
  <w:endnote w:type="continuationSeparator" w:id="0">
    <w:p w:rsidR="001F6582" w:rsidRPr="00AB03F1" w:rsidRDefault="001F6582" w:rsidP="00E229AB">
      <w:pPr>
        <w:rPr>
          <w:rFonts w:ascii="Verdana" w:eastAsia="仿宋_GB2312"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82" w:rsidRPr="00AB03F1" w:rsidRDefault="001F6582" w:rsidP="00E229AB">
      <w:pPr>
        <w:rPr>
          <w:rFonts w:ascii="Verdana" w:eastAsia="仿宋_GB2312" w:hAnsi="Verdana" w:cs="Verdana"/>
          <w:kern w:val="0"/>
          <w:sz w:val="24"/>
          <w:lang w:eastAsia="en-US"/>
        </w:rPr>
      </w:pPr>
      <w:r>
        <w:separator/>
      </w:r>
    </w:p>
  </w:footnote>
  <w:footnote w:type="continuationSeparator" w:id="0">
    <w:p w:rsidR="001F6582" w:rsidRPr="00AB03F1" w:rsidRDefault="001F6582" w:rsidP="00E229AB">
      <w:pPr>
        <w:rPr>
          <w:rFonts w:ascii="Verdana" w:eastAsia="仿宋_GB2312" w:hAnsi="Verdana" w:cs="Verdana"/>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FC665"/>
    <w:multiLevelType w:val="singleLevel"/>
    <w:tmpl w:val="56DFC665"/>
    <w:lvl w:ilvl="0">
      <w:start w:val="2"/>
      <w:numFmt w:val="chineseCounting"/>
      <w:suff w:val="nothing"/>
      <w:lvlText w:val="%1、"/>
      <w:lvlJc w:val="left"/>
      <w:pPr>
        <w:ind w:left="1135"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F89"/>
    <w:rsid w:val="000243E1"/>
    <w:rsid w:val="00041F84"/>
    <w:rsid w:val="00102252"/>
    <w:rsid w:val="001065CE"/>
    <w:rsid w:val="00184F67"/>
    <w:rsid w:val="001F6582"/>
    <w:rsid w:val="00222175"/>
    <w:rsid w:val="00295D04"/>
    <w:rsid w:val="003456C1"/>
    <w:rsid w:val="00350F01"/>
    <w:rsid w:val="00395866"/>
    <w:rsid w:val="003B32FF"/>
    <w:rsid w:val="003F5A8E"/>
    <w:rsid w:val="003F6D1D"/>
    <w:rsid w:val="00407A6D"/>
    <w:rsid w:val="00462FA0"/>
    <w:rsid w:val="00477899"/>
    <w:rsid w:val="004D512A"/>
    <w:rsid w:val="004E0FEB"/>
    <w:rsid w:val="004F0E02"/>
    <w:rsid w:val="00525AF8"/>
    <w:rsid w:val="005E6BC1"/>
    <w:rsid w:val="00635DD7"/>
    <w:rsid w:val="0064061B"/>
    <w:rsid w:val="00651969"/>
    <w:rsid w:val="00685142"/>
    <w:rsid w:val="00827F59"/>
    <w:rsid w:val="008444E1"/>
    <w:rsid w:val="00856196"/>
    <w:rsid w:val="0089085B"/>
    <w:rsid w:val="008955AC"/>
    <w:rsid w:val="00916971"/>
    <w:rsid w:val="00955AE3"/>
    <w:rsid w:val="00955AF3"/>
    <w:rsid w:val="009D0276"/>
    <w:rsid w:val="009F33F2"/>
    <w:rsid w:val="00A103BA"/>
    <w:rsid w:val="00A252D1"/>
    <w:rsid w:val="00A47434"/>
    <w:rsid w:val="00A720B1"/>
    <w:rsid w:val="00B91A89"/>
    <w:rsid w:val="00BB1429"/>
    <w:rsid w:val="00C16B7E"/>
    <w:rsid w:val="00C731E5"/>
    <w:rsid w:val="00C831AF"/>
    <w:rsid w:val="00C96C75"/>
    <w:rsid w:val="00D40515"/>
    <w:rsid w:val="00DB39F7"/>
    <w:rsid w:val="00DF78D8"/>
    <w:rsid w:val="00E229AB"/>
    <w:rsid w:val="00EC2009"/>
    <w:rsid w:val="00F00F89"/>
    <w:rsid w:val="00F056C9"/>
    <w:rsid w:val="00F26239"/>
    <w:rsid w:val="00F772AB"/>
    <w:rsid w:val="00FA6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1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2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29AB"/>
    <w:rPr>
      <w:rFonts w:ascii="Times New Roman" w:eastAsia="宋体" w:hAnsi="Times New Roman" w:cs="Times New Roman"/>
      <w:sz w:val="18"/>
      <w:szCs w:val="18"/>
    </w:rPr>
  </w:style>
  <w:style w:type="paragraph" w:styleId="a4">
    <w:name w:val="footer"/>
    <w:basedOn w:val="a"/>
    <w:link w:val="Char0"/>
    <w:uiPriority w:val="99"/>
    <w:semiHidden/>
    <w:unhideWhenUsed/>
    <w:rsid w:val="00E22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29AB"/>
    <w:rPr>
      <w:rFonts w:ascii="Times New Roman" w:eastAsia="宋体" w:hAnsi="Times New Roman" w:cs="Times New Roman"/>
      <w:sz w:val="18"/>
      <w:szCs w:val="18"/>
    </w:rPr>
  </w:style>
  <w:style w:type="paragraph" w:styleId="a5">
    <w:name w:val="No Spacing"/>
    <w:uiPriority w:val="1"/>
    <w:qFormat/>
    <w:rsid w:val="00F26239"/>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724016013">
      <w:bodyDiv w:val="1"/>
      <w:marLeft w:val="0"/>
      <w:marRight w:val="0"/>
      <w:marTop w:val="0"/>
      <w:marBottom w:val="0"/>
      <w:divBdr>
        <w:top w:val="none" w:sz="0" w:space="0" w:color="auto"/>
        <w:left w:val="none" w:sz="0" w:space="0" w:color="auto"/>
        <w:bottom w:val="none" w:sz="0" w:space="0" w:color="auto"/>
        <w:right w:val="none" w:sz="0" w:space="0" w:color="auto"/>
      </w:divBdr>
    </w:div>
    <w:div w:id="1909726615">
      <w:bodyDiv w:val="1"/>
      <w:marLeft w:val="0"/>
      <w:marRight w:val="0"/>
      <w:marTop w:val="0"/>
      <w:marBottom w:val="0"/>
      <w:divBdr>
        <w:top w:val="none" w:sz="0" w:space="0" w:color="auto"/>
        <w:left w:val="none" w:sz="0" w:space="0" w:color="auto"/>
        <w:bottom w:val="none" w:sz="0" w:space="0" w:color="auto"/>
        <w:right w:val="none" w:sz="0" w:space="0" w:color="auto"/>
      </w:divBdr>
      <w:divsChild>
        <w:div w:id="445466375">
          <w:marLeft w:val="0"/>
          <w:marRight w:val="0"/>
          <w:marTop w:val="0"/>
          <w:marBottom w:val="0"/>
          <w:divBdr>
            <w:top w:val="none" w:sz="0" w:space="0" w:color="auto"/>
            <w:left w:val="none" w:sz="0" w:space="0" w:color="auto"/>
            <w:bottom w:val="none" w:sz="0" w:space="0" w:color="auto"/>
            <w:right w:val="none" w:sz="0" w:space="0" w:color="auto"/>
          </w:divBdr>
          <w:divsChild>
            <w:div w:id="1397508592">
              <w:marLeft w:val="0"/>
              <w:marRight w:val="0"/>
              <w:marTop w:val="343"/>
              <w:marBottom w:val="0"/>
              <w:divBdr>
                <w:top w:val="none" w:sz="0" w:space="0" w:color="auto"/>
                <w:left w:val="none" w:sz="0" w:space="0" w:color="auto"/>
                <w:bottom w:val="none" w:sz="0" w:space="0" w:color="auto"/>
                <w:right w:val="none" w:sz="0" w:space="0" w:color="auto"/>
              </w:divBdr>
              <w:divsChild>
                <w:div w:id="1369598275">
                  <w:marLeft w:val="0"/>
                  <w:marRight w:val="0"/>
                  <w:marTop w:val="0"/>
                  <w:marBottom w:val="0"/>
                  <w:divBdr>
                    <w:top w:val="single" w:sz="6" w:space="0" w:color="E5E5E5"/>
                    <w:left w:val="single" w:sz="6" w:space="0" w:color="E5E5E5"/>
                    <w:bottom w:val="single" w:sz="6" w:space="0" w:color="E5E5E5"/>
                    <w:right w:val="single" w:sz="6" w:space="0" w:color="E5E5E5"/>
                  </w:divBdr>
                  <w:divsChild>
                    <w:div w:id="1031416987">
                      <w:marLeft w:val="0"/>
                      <w:marRight w:val="0"/>
                      <w:marTop w:val="0"/>
                      <w:marBottom w:val="0"/>
                      <w:divBdr>
                        <w:top w:val="none" w:sz="0" w:space="0" w:color="auto"/>
                        <w:left w:val="none" w:sz="0" w:space="0" w:color="auto"/>
                        <w:bottom w:val="none" w:sz="0" w:space="0" w:color="auto"/>
                        <w:right w:val="none" w:sz="0" w:space="0" w:color="auto"/>
                      </w:divBdr>
                      <w:divsChild>
                        <w:div w:id="71706340">
                          <w:marLeft w:val="0"/>
                          <w:marRight w:val="0"/>
                          <w:marTop w:val="0"/>
                          <w:marBottom w:val="257"/>
                          <w:divBdr>
                            <w:top w:val="none" w:sz="0" w:space="0" w:color="auto"/>
                            <w:left w:val="none" w:sz="0" w:space="0" w:color="auto"/>
                            <w:bottom w:val="none" w:sz="0" w:space="0" w:color="auto"/>
                            <w:right w:val="none" w:sz="0" w:space="0" w:color="auto"/>
                          </w:divBdr>
                        </w:div>
                        <w:div w:id="159515044">
                          <w:marLeft w:val="0"/>
                          <w:marRight w:val="0"/>
                          <w:marTop w:val="0"/>
                          <w:marBottom w:val="257"/>
                          <w:divBdr>
                            <w:top w:val="none" w:sz="0" w:space="0" w:color="auto"/>
                            <w:left w:val="none" w:sz="0" w:space="0" w:color="auto"/>
                            <w:bottom w:val="none" w:sz="0" w:space="0" w:color="auto"/>
                            <w:right w:val="none" w:sz="0" w:space="0" w:color="auto"/>
                          </w:divBdr>
                        </w:div>
                        <w:div w:id="133572109">
                          <w:marLeft w:val="0"/>
                          <w:marRight w:val="0"/>
                          <w:marTop w:val="0"/>
                          <w:marBottom w:val="257"/>
                          <w:divBdr>
                            <w:top w:val="none" w:sz="0" w:space="0" w:color="auto"/>
                            <w:left w:val="none" w:sz="0" w:space="0" w:color="auto"/>
                            <w:bottom w:val="none" w:sz="0" w:space="0" w:color="auto"/>
                            <w:right w:val="none" w:sz="0" w:space="0" w:color="auto"/>
                          </w:divBdr>
                        </w:div>
                        <w:div w:id="1548906705">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A1F6-3F18-4259-A940-59C1BE44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2016-01-25T02:20:00Z</dcterms:created>
  <dcterms:modified xsi:type="dcterms:W3CDTF">2016-06-23T08:00:00Z</dcterms:modified>
</cp:coreProperties>
</file>