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5" w:type="dxa"/>
        <w:tblInd w:w="-106" w:type="dxa"/>
        <w:tblLook w:val="0000"/>
      </w:tblPr>
      <w:tblGrid>
        <w:gridCol w:w="1811"/>
        <w:gridCol w:w="6484"/>
      </w:tblGrid>
      <w:tr w:rsidR="0011026B" w:rsidRPr="00837714">
        <w:trPr>
          <w:trHeight w:val="510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26B" w:rsidRPr="00837714" w:rsidRDefault="0011026B" w:rsidP="00837714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sz w:val="40"/>
                <w:szCs w:val="40"/>
              </w:rPr>
            </w:pPr>
            <w:r w:rsidRPr="00837714">
              <w:rPr>
                <w:rFonts w:ascii="黑体" w:eastAsia="黑体" w:hAnsi="黑体" w:cs="黑体" w:hint="eastAsia"/>
                <w:sz w:val="40"/>
                <w:szCs w:val="40"/>
              </w:rPr>
              <w:t>行政职权基本信息表</w:t>
            </w:r>
          </w:p>
        </w:tc>
      </w:tr>
      <w:tr w:rsidR="0011026B" w:rsidRPr="00837714">
        <w:trPr>
          <w:trHeight w:val="405"/>
        </w:trPr>
        <w:tc>
          <w:tcPr>
            <w:tcW w:w="82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26B" w:rsidRPr="00837714" w:rsidRDefault="0011026B" w:rsidP="00837714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837714">
              <w:rPr>
                <w:rFonts w:ascii="黑体" w:eastAsia="黑体" w:hAnsi="黑体" w:cs="黑体" w:hint="eastAsia"/>
                <w:sz w:val="32"/>
                <w:szCs w:val="32"/>
              </w:rPr>
              <w:t>（行政强制）</w:t>
            </w:r>
          </w:p>
        </w:tc>
      </w:tr>
      <w:tr w:rsidR="0011026B" w:rsidRPr="00837714" w:rsidTr="00FD30CF">
        <w:trPr>
          <w:trHeight w:val="285"/>
        </w:trPr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填报单位：</w:t>
            </w:r>
            <w:r w:rsidRPr="00DA5E23">
              <w:rPr>
                <w:rFonts w:ascii="仿宋" w:eastAsia="仿宋" w:hAnsi="仿宋" w:cs="仿宋" w:hint="eastAsia"/>
                <w:sz w:val="32"/>
                <w:szCs w:val="32"/>
              </w:rPr>
              <w:t>西塞山区农林水利局</w:t>
            </w:r>
          </w:p>
        </w:tc>
      </w:tr>
      <w:tr w:rsidR="0011026B" w:rsidRPr="00837714" w:rsidTr="00DA5E23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职权编码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宋体"/>
                <w:sz w:val="24"/>
              </w:rPr>
              <w:t>57153172-9-</w:t>
            </w:r>
            <w:r w:rsidR="00E03DED">
              <w:rPr>
                <w:rFonts w:ascii="仿宋_GB2312" w:eastAsia="仿宋_GB2312" w:hAnsi="仿宋" w:cs="宋体" w:hint="eastAsia"/>
                <w:sz w:val="24"/>
              </w:rPr>
              <w:t>QZ</w:t>
            </w:r>
            <w:r>
              <w:rPr>
                <w:rFonts w:ascii="仿宋_GB2312" w:eastAsia="仿宋_GB2312" w:hAnsi="仿宋" w:cs="宋体"/>
                <w:sz w:val="24"/>
              </w:rPr>
              <w:t>-23400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职权名称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行政强制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子项名称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对违法生猪屠宰活动有关的场所、设施的查封，对与违法生猪屠宰活动有关的生猪、生猪产品以及屠宰工具和设备的扣押</w:t>
            </w:r>
          </w:p>
        </w:tc>
      </w:tr>
      <w:tr w:rsidR="0011026B" w:rsidRPr="00837714" w:rsidTr="00FD30CF">
        <w:trPr>
          <w:trHeight w:val="31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行使主体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西塞山区农林水利局</w:t>
            </w:r>
          </w:p>
        </w:tc>
      </w:tr>
      <w:tr w:rsidR="0011026B" w:rsidRPr="00837714" w:rsidTr="00FD30CF">
        <w:trPr>
          <w:trHeight w:val="271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职权依据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 w:cs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【法规】《生猪屠宰管理条例》（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1997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年国务院令第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238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2007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12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19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日修订通过）</w:t>
            </w:r>
            <w:r w:rsidRPr="006319FF">
              <w:rPr>
                <w:rFonts w:ascii="仿宋" w:eastAsia="仿宋" w:hAnsi="仿宋"/>
                <w:sz w:val="24"/>
                <w:szCs w:val="24"/>
              </w:rPr>
              <w:br/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第二十一条第二款第四项　查封与违法生猪屠宰活动有关的场所、设施，扣押与违法生猪屠宰活动有关的生猪、生猪产品以及屠宰工具和设备。</w:t>
            </w:r>
            <w:r w:rsidRPr="006319FF">
              <w:rPr>
                <w:rFonts w:ascii="仿宋" w:eastAsia="仿宋" w:hAnsi="仿宋"/>
                <w:sz w:val="24"/>
                <w:szCs w:val="24"/>
              </w:rPr>
              <w:br/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根据《国务院关于地方改革完善食品药品监督管理体制的指导意见》（国发〔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2013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〕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18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号）精神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,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生猪定点屠宰监督管理职责已从商务部门调整到农业部门。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)  </w:t>
            </w:r>
          </w:p>
        </w:tc>
      </w:tr>
      <w:tr w:rsidR="0011026B" w:rsidRPr="00837714" w:rsidTr="00FD30CF">
        <w:trPr>
          <w:trHeight w:val="70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强制种类或方式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行政强制执行</w:t>
            </w:r>
          </w:p>
        </w:tc>
      </w:tr>
      <w:tr w:rsidR="0011026B" w:rsidRPr="00837714" w:rsidTr="00FD30CF">
        <w:trPr>
          <w:trHeight w:val="54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强制条件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违法生猪屠宰活动</w:t>
            </w:r>
          </w:p>
        </w:tc>
      </w:tr>
      <w:tr w:rsidR="0011026B" w:rsidRPr="00837714" w:rsidTr="00FD30CF">
        <w:trPr>
          <w:trHeight w:val="52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职权运行流程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催告</w:t>
            </w:r>
            <w:r w:rsidRPr="006319FF">
              <w:rPr>
                <w:rFonts w:ascii="仿宋" w:eastAsia="仿宋" w:hAnsi="仿宋" w:hint="eastAsia"/>
                <w:sz w:val="24"/>
                <w:szCs w:val="24"/>
              </w:rPr>
              <w:t>→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听取陈述申辩</w:t>
            </w:r>
            <w:r w:rsidRPr="006319FF">
              <w:rPr>
                <w:rFonts w:ascii="仿宋" w:eastAsia="仿宋" w:hAnsi="仿宋" w:hint="eastAsia"/>
                <w:sz w:val="24"/>
                <w:szCs w:val="24"/>
              </w:rPr>
              <w:t>→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决定</w:t>
            </w:r>
            <w:r w:rsidRPr="006319FF">
              <w:rPr>
                <w:rFonts w:ascii="仿宋" w:eastAsia="仿宋" w:hAnsi="仿宋" w:hint="eastAsia"/>
                <w:sz w:val="24"/>
                <w:szCs w:val="24"/>
              </w:rPr>
              <w:t>→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送达</w:t>
            </w:r>
            <w:r w:rsidRPr="006319FF">
              <w:rPr>
                <w:rFonts w:ascii="仿宋" w:eastAsia="仿宋" w:hAnsi="仿宋" w:hint="eastAsia"/>
                <w:sz w:val="24"/>
                <w:szCs w:val="24"/>
              </w:rPr>
              <w:t>→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执行</w:t>
            </w:r>
          </w:p>
        </w:tc>
      </w:tr>
      <w:tr w:rsidR="0011026B" w:rsidRPr="00837714" w:rsidTr="00FD30CF">
        <w:trPr>
          <w:trHeight w:val="35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责任事项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催告责任：发现与违法生猪屠宰活动有关的，应当催告违法行为人采取措施治理，下达催告书并直接送达当事人。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2.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听取陈述申辩责任：在催告之后，</w:t>
            </w:r>
            <w:proofErr w:type="gramStart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作出</w:t>
            </w:r>
            <w:proofErr w:type="gramEnd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行政强制决定之前，应听取当事人的陈述和申辩。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3.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决定责任：当事人逾期不治理的，应通过调查取证，依照事实和法律规定做出是否采取强制的决定，制作行政强制执行决定书。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4.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送达责任：应将行政强制执行决定书直接送达当事人。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                        5.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执行责任：指定没有利害关系，有治理能力的单位代为治理，所需费用由违法行为人承担。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lastRenderedPageBreak/>
              <w:t>6.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监管责任：与违法生猪屠宰活动有关的。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7.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其他法律法规规章文件规定应履行的其他责任。</w:t>
            </w:r>
          </w:p>
        </w:tc>
      </w:tr>
      <w:tr w:rsidR="0011026B" w:rsidRPr="00837714" w:rsidTr="00FD30CF">
        <w:trPr>
          <w:trHeight w:val="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责任事项依据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 w:cs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《行政强制法》（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1"/>
              </w:smartTagP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2011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年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30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通过）第三十五条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行政机关</w:t>
            </w:r>
            <w:proofErr w:type="gramStart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作出</w:t>
            </w:r>
            <w:proofErr w:type="gramEnd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行政强制执行决定前，应当事先催告当事人履行义务。催告书应当以书面形式</w:t>
            </w:r>
            <w:proofErr w:type="gramStart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作出</w:t>
            </w:r>
            <w:proofErr w:type="gramEnd"/>
            <w:r w:rsidRPr="006319FF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2.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《行政强制法》（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1"/>
              </w:smartTagP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2011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年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30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通过）第三十六条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当事人收到催告书后有权进行陈述和申辩。行政机关应当充分听取当事人的意见，对当事人提出的事实、理由和证据，应当进行记录、复核。当事人提出的事实、理由或者证据成立的，行政机关应当采纳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br/>
              <w:t>3-1.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同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3-2.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《行政强制法》（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1"/>
              </w:smartTagP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2011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年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30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通过）第三十七条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经催告，当事人逾期仍不履行行政决定，且无正当理由的，行政机关可以做出强制执行决定。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br/>
              <w:t>4.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《行政强制法》（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1"/>
              </w:smartTagP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2011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年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30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通过）第三十八条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催告书、行政强制执行决定书应当直接送达当事人。当事人拒绝接收或者无法直接送达当事人的，应当依照《中华人民共和国民事诉讼法》的有关规定送达。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                                                                       5.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《行政强制法》（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1"/>
              </w:smartTagP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2011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年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6319FF">
                <w:rPr>
                  <w:rFonts w:ascii="仿宋" w:eastAsia="仿宋" w:hAnsi="仿宋" w:cs="仿宋"/>
                  <w:sz w:val="24"/>
                  <w:szCs w:val="24"/>
                </w:rPr>
                <w:t>30</w:t>
              </w:r>
              <w:r w:rsidRPr="006319FF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通过）第三十四条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行政机关依法</w:t>
            </w:r>
            <w:proofErr w:type="gramStart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作出</w:t>
            </w:r>
            <w:proofErr w:type="gramEnd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行政决定后，当事人在行政机关决定的期限内不履行义务的，具有行政强制执行权的行政机关依照本章规定强制执行。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第五十条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行政机关依法</w:t>
            </w:r>
            <w:proofErr w:type="gramStart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作出</w:t>
            </w:r>
            <w:proofErr w:type="gramEnd"/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要求当事人履行排除妨碍、恢复原状等义务的行政决定，当事人逾期不履行，经催告仍不履行，其后果已经或者将危害交通安全、造成环境污染或者破坏自然资源的，行政机关可以代履行，或者委托没有利害关系的第三人代履行。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11026B" w:rsidRPr="00837714" w:rsidTr="00FD30CF">
        <w:trPr>
          <w:trHeight w:val="67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职责边界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责任分工</w:t>
            </w:r>
            <w:r w:rsidRPr="006319FF">
              <w:rPr>
                <w:rFonts w:ascii="仿宋" w:eastAsia="仿宋" w:hAnsi="仿宋"/>
                <w:sz w:val="24"/>
                <w:szCs w:val="24"/>
              </w:rPr>
              <w:br/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层级之间：按照法律有关规定实行属地管理。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承办机构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黄石市畜牧兽医局畜禽屠宰管理办公室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咨询方式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西塞山区动物卫生监督所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监督投诉方式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0714-6289192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沿湖路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889-2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号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jc w:val="both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/>
                <w:sz w:val="24"/>
                <w:szCs w:val="24"/>
              </w:rPr>
              <w:t xml:space="preserve">0714-6482862 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区政府办公大楼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812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室</w:t>
            </w:r>
          </w:p>
        </w:tc>
      </w:tr>
      <w:tr w:rsidR="0011026B" w:rsidRPr="00837714" w:rsidTr="00FD30CF">
        <w:trPr>
          <w:trHeight w:val="6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26B" w:rsidRPr="00DA5E23" w:rsidRDefault="0011026B" w:rsidP="00DA5E23">
            <w:pPr>
              <w:adjustRightInd/>
              <w:snapToGrid/>
              <w:spacing w:after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5E23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 xml:space="preserve">　</w:t>
            </w:r>
          </w:p>
        </w:tc>
      </w:tr>
      <w:tr w:rsidR="0011026B" w:rsidRPr="00837714" w:rsidTr="00FD30CF">
        <w:trPr>
          <w:trHeight w:val="418"/>
        </w:trPr>
        <w:tc>
          <w:tcPr>
            <w:tcW w:w="8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注：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1.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表格要素原则上为必填项，确无对应内容则填报</w:t>
            </w:r>
            <w:r w:rsidRPr="006319FF"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无</w:t>
            </w:r>
            <w:r w:rsidRPr="006319FF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2.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填报内容使用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12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号仿宋字体；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3.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其他填报要求详见附件</w:t>
            </w:r>
            <w:r w:rsidRPr="006319FF">
              <w:rPr>
                <w:rFonts w:ascii="仿宋" w:eastAsia="仿宋" w:hAnsi="仿宋" w:cs="仿宋"/>
                <w:sz w:val="24"/>
                <w:szCs w:val="24"/>
              </w:rPr>
              <w:t>9</w:t>
            </w:r>
            <w:r w:rsidRPr="006319FF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  <w:tr w:rsidR="0011026B" w:rsidRPr="00837714" w:rsidTr="00FD30CF">
        <w:trPr>
          <w:trHeight w:val="418"/>
        </w:trPr>
        <w:tc>
          <w:tcPr>
            <w:tcW w:w="8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6B" w:rsidRPr="006319FF" w:rsidRDefault="0011026B" w:rsidP="00837714">
            <w:pPr>
              <w:adjustRightInd/>
              <w:snapToGrid/>
              <w:spacing w:after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1026B" w:rsidRDefault="0011026B" w:rsidP="007435E7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11026B" w:rsidRDefault="0011026B" w:rsidP="007435E7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11026B" w:rsidRDefault="0011026B" w:rsidP="007435E7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11026B" w:rsidRDefault="0011026B" w:rsidP="007435E7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11026B" w:rsidRDefault="0011026B" w:rsidP="007435E7">
      <w:pPr>
        <w:spacing w:line="58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11026B" w:rsidRPr="007435E7" w:rsidRDefault="0011026B" w:rsidP="007435E7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cs="华文中宋"/>
          <w:sz w:val="32"/>
          <w:szCs w:val="32"/>
        </w:rPr>
        <w:t>149</w:t>
      </w:r>
      <w:r w:rsidRPr="007435E7">
        <w:rPr>
          <w:rFonts w:ascii="华文中宋" w:eastAsia="华文中宋" w:hAnsi="华文中宋" w:cs="华文中宋" w:hint="eastAsia"/>
          <w:sz w:val="32"/>
          <w:szCs w:val="32"/>
        </w:rPr>
        <w:t>对违法生猪屠宰活动有关的设施的查封以及屠宰工具和设备的扣押</w:t>
      </w:r>
      <w:r>
        <w:rPr>
          <w:rFonts w:ascii="华文中宋" w:eastAsia="华文中宋" w:hAnsi="华文中宋" w:cs="华文中宋" w:hint="eastAsia"/>
          <w:sz w:val="32"/>
          <w:szCs w:val="32"/>
        </w:rPr>
        <w:t>流程图</w:t>
      </w:r>
    </w:p>
    <w:p w:rsidR="0011026B" w:rsidRDefault="0011026B" w:rsidP="007435E7">
      <w:pPr>
        <w:spacing w:line="580" w:lineRule="exact"/>
        <w:rPr>
          <w:rFonts w:eastAsia="楷体_GB2312"/>
          <w:b/>
          <w:bCs/>
          <w:sz w:val="32"/>
          <w:szCs w:val="32"/>
        </w:rPr>
      </w:pPr>
    </w:p>
    <w:p w:rsidR="0011026B" w:rsidRDefault="000949AD" w:rsidP="007435E7">
      <w:pPr>
        <w:spacing w:line="58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 w:rsidRPr="000949AD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6" type="#_x0000_t75" alt="003-1" style="position:absolute;left:0;text-align:left;margin-left:29.8pt;margin-top:5.55pt;width:383.75pt;height:532.65pt;z-index:1;visibility:visible">
            <v:imagedata r:id="rId6" o:title=""/>
            <w10:wrap type="square"/>
          </v:shape>
        </w:pict>
      </w:r>
    </w:p>
    <w:p w:rsidR="0011026B" w:rsidRDefault="0011026B" w:rsidP="007435E7">
      <w:pPr>
        <w:spacing w:line="580" w:lineRule="exact"/>
        <w:jc w:val="center"/>
        <w:rPr>
          <w:rFonts w:ascii="楷体_GB2312" w:eastAsia="楷体_GB2312" w:hAnsi="黑体"/>
          <w:b/>
          <w:bCs/>
          <w:color w:val="000000"/>
          <w:sz w:val="32"/>
          <w:szCs w:val="32"/>
        </w:rPr>
      </w:pPr>
    </w:p>
    <w:p w:rsidR="0011026B" w:rsidRDefault="0011026B" w:rsidP="007435E7">
      <w:pPr>
        <w:spacing w:line="220" w:lineRule="atLeast"/>
      </w:pPr>
    </w:p>
    <w:sectPr w:rsidR="0011026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A1" w:rsidRDefault="007632A1" w:rsidP="007435E7">
      <w:pPr>
        <w:spacing w:after="0"/>
      </w:pPr>
      <w:r>
        <w:separator/>
      </w:r>
    </w:p>
  </w:endnote>
  <w:endnote w:type="continuationSeparator" w:id="0">
    <w:p w:rsidR="007632A1" w:rsidRDefault="007632A1" w:rsidP="00743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A1" w:rsidRDefault="007632A1" w:rsidP="007435E7">
      <w:pPr>
        <w:spacing w:after="0"/>
      </w:pPr>
      <w:r>
        <w:separator/>
      </w:r>
    </w:p>
  </w:footnote>
  <w:footnote w:type="continuationSeparator" w:id="0">
    <w:p w:rsidR="007632A1" w:rsidRDefault="007632A1" w:rsidP="007435E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6B" w:rsidRDefault="0011026B" w:rsidP="00DA5E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949AD"/>
    <w:rsid w:val="000C79E9"/>
    <w:rsid w:val="0011026B"/>
    <w:rsid w:val="00120EEF"/>
    <w:rsid w:val="00323B43"/>
    <w:rsid w:val="003D37D8"/>
    <w:rsid w:val="003F312E"/>
    <w:rsid w:val="0041487C"/>
    <w:rsid w:val="00426133"/>
    <w:rsid w:val="004358AB"/>
    <w:rsid w:val="00470ED2"/>
    <w:rsid w:val="006319FF"/>
    <w:rsid w:val="00680327"/>
    <w:rsid w:val="00714804"/>
    <w:rsid w:val="007435E7"/>
    <w:rsid w:val="007632A1"/>
    <w:rsid w:val="00837714"/>
    <w:rsid w:val="008B7726"/>
    <w:rsid w:val="00937A4D"/>
    <w:rsid w:val="00A54ABA"/>
    <w:rsid w:val="00A928B0"/>
    <w:rsid w:val="00BD78EF"/>
    <w:rsid w:val="00D14D03"/>
    <w:rsid w:val="00D31D50"/>
    <w:rsid w:val="00D57D75"/>
    <w:rsid w:val="00D87282"/>
    <w:rsid w:val="00D87D6D"/>
    <w:rsid w:val="00DA5E23"/>
    <w:rsid w:val="00E03DED"/>
    <w:rsid w:val="00ED448D"/>
    <w:rsid w:val="00FD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435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435E7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435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435E7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8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dcterms:created xsi:type="dcterms:W3CDTF">2008-09-11T17:20:00Z</dcterms:created>
  <dcterms:modified xsi:type="dcterms:W3CDTF">2016-06-24T08:10:00Z</dcterms:modified>
</cp:coreProperties>
</file>