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666"/>
        <w:gridCol w:w="7011"/>
      </w:tblGrid>
      <w:tr w:rsidR="00FC4C6F" w:rsidRPr="00FC4C6F" w:rsidTr="00F12667">
        <w:trPr>
          <w:trHeight w:val="1862"/>
        </w:trPr>
        <w:tc>
          <w:tcPr>
            <w:tcW w:w="8677" w:type="dxa"/>
            <w:gridSpan w:val="2"/>
            <w:tcBorders>
              <w:top w:val="nil"/>
              <w:bottom w:val="single" w:sz="6" w:space="0" w:color="auto"/>
            </w:tcBorders>
          </w:tcPr>
          <w:p w:rsidR="00F12667" w:rsidRPr="00FC4C6F" w:rsidRDefault="00FC4C6F" w:rsidP="00FC4C6F">
            <w:pPr>
              <w:autoSpaceDE w:val="0"/>
              <w:autoSpaceDN w:val="0"/>
              <w:adjustRightInd w:val="0"/>
              <w:jc w:val="center"/>
              <w:rPr>
                <w:rFonts w:ascii="黑体" w:eastAsia="黑体" w:cs="黑体"/>
                <w:color w:val="000000"/>
                <w:kern w:val="0"/>
                <w:sz w:val="40"/>
                <w:szCs w:val="40"/>
              </w:rPr>
            </w:pPr>
            <w:bookmarkStart w:id="0" w:name="_GoBack"/>
            <w:bookmarkEnd w:id="0"/>
            <w:r w:rsidRPr="00FC4C6F">
              <w:rPr>
                <w:rFonts w:ascii="黑体" w:eastAsia="黑体" w:cs="黑体" w:hint="eastAsia"/>
                <w:color w:val="000000"/>
                <w:kern w:val="0"/>
                <w:sz w:val="40"/>
                <w:szCs w:val="40"/>
              </w:rPr>
              <w:t>行政职权基本信息表</w:t>
            </w:r>
          </w:p>
          <w:p w:rsidR="00F12667" w:rsidRPr="00FC4C6F" w:rsidRDefault="00F12667" w:rsidP="00FC4C6F">
            <w:pPr>
              <w:autoSpaceDE w:val="0"/>
              <w:autoSpaceDN w:val="0"/>
              <w:adjustRightInd w:val="0"/>
              <w:jc w:val="center"/>
              <w:rPr>
                <w:rFonts w:ascii="黑体" w:eastAsia="黑体" w:cs="黑体"/>
                <w:color w:val="000000"/>
                <w:kern w:val="0"/>
                <w:sz w:val="40"/>
                <w:szCs w:val="40"/>
              </w:rPr>
            </w:pPr>
            <w:r w:rsidRPr="00FC4C6F">
              <w:rPr>
                <w:rFonts w:ascii="黑体" w:eastAsia="黑体" w:cs="黑体" w:hint="eastAsia"/>
                <w:color w:val="000000"/>
                <w:kern w:val="0"/>
                <w:sz w:val="32"/>
                <w:szCs w:val="32"/>
              </w:rPr>
              <w:t>（行政处罚）</w:t>
            </w:r>
          </w:p>
          <w:p w:rsidR="00FC4C6F" w:rsidRPr="00FC4C6F" w:rsidRDefault="00F12667" w:rsidP="00FC4C6F">
            <w:pPr>
              <w:autoSpaceDE w:val="0"/>
              <w:autoSpaceDN w:val="0"/>
              <w:adjustRightInd w:val="0"/>
              <w:jc w:val="left"/>
              <w:rPr>
                <w:rFonts w:ascii="黑体" w:eastAsia="黑体" w:cs="黑体"/>
                <w:color w:val="000000"/>
                <w:kern w:val="0"/>
                <w:sz w:val="40"/>
                <w:szCs w:val="40"/>
              </w:rPr>
            </w:pPr>
            <w:r w:rsidRPr="00FC4C6F">
              <w:rPr>
                <w:rFonts w:ascii="黑体" w:eastAsia="黑体" w:cs="黑体" w:hint="eastAsia"/>
                <w:color w:val="000000"/>
                <w:kern w:val="0"/>
                <w:sz w:val="24"/>
              </w:rPr>
              <w:t>填报单位：</w:t>
            </w:r>
            <w:r w:rsidRPr="006A0824">
              <w:rPr>
                <w:rFonts w:ascii="仿宋" w:eastAsia="仿宋" w:hAnsi="仿宋" w:cs="黑体" w:hint="eastAsia"/>
                <w:color w:val="000000"/>
                <w:kern w:val="0"/>
                <w:sz w:val="32"/>
                <w:szCs w:val="32"/>
              </w:rPr>
              <w:t>西塞山区农林水利局</w:t>
            </w:r>
          </w:p>
        </w:tc>
      </w:tr>
      <w:tr w:rsidR="00FC4C6F" w:rsidRPr="00FC4C6F" w:rsidTr="00FC4C6F">
        <w:trPr>
          <w:trHeight w:val="614"/>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职权编码</w:t>
            </w:r>
          </w:p>
        </w:tc>
        <w:tc>
          <w:tcPr>
            <w:tcW w:w="7011" w:type="dxa"/>
            <w:tcBorders>
              <w:top w:val="single" w:sz="6" w:space="0" w:color="auto"/>
              <w:left w:val="single" w:sz="6" w:space="0" w:color="auto"/>
              <w:bottom w:val="single" w:sz="6" w:space="0" w:color="auto"/>
              <w:right w:val="single" w:sz="6" w:space="0" w:color="auto"/>
            </w:tcBorders>
          </w:tcPr>
          <w:p w:rsidR="00FC4C6F" w:rsidRPr="00FC4C6F" w:rsidRDefault="006A0824" w:rsidP="00FC4C6F">
            <w:pPr>
              <w:autoSpaceDE w:val="0"/>
              <w:autoSpaceDN w:val="0"/>
              <w:adjustRightInd w:val="0"/>
              <w:jc w:val="left"/>
              <w:rPr>
                <w:rFonts w:ascii="仿宋" w:eastAsia="仿宋" w:cs="仿宋"/>
                <w:color w:val="000000"/>
                <w:kern w:val="0"/>
                <w:sz w:val="24"/>
              </w:rPr>
            </w:pPr>
            <w:r>
              <w:rPr>
                <w:rFonts w:ascii="仿宋_GB2312" w:eastAsia="仿宋_GB2312" w:hAnsi="仿宋" w:cs="宋体" w:hint="eastAsia"/>
                <w:kern w:val="0"/>
                <w:sz w:val="24"/>
              </w:rPr>
              <w:t>57153172-9-CF-20900</w:t>
            </w:r>
          </w:p>
        </w:tc>
      </w:tr>
      <w:tr w:rsidR="00FC4C6F" w:rsidRPr="006A0824" w:rsidTr="00FC4C6F">
        <w:trPr>
          <w:trHeight w:val="694"/>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职权名称</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对饲料、饲料添加剂经营的单位和个人不按规定进行经营或在经营过程中对饲料进行再加工或者添加物质的处罚。</w:t>
            </w:r>
          </w:p>
        </w:tc>
      </w:tr>
      <w:tr w:rsidR="00FC4C6F" w:rsidRPr="006A0824" w:rsidTr="00FC4C6F">
        <w:trPr>
          <w:trHeight w:val="614"/>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子项名称</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无</w:t>
            </w:r>
          </w:p>
        </w:tc>
      </w:tr>
      <w:tr w:rsidR="00FC4C6F" w:rsidRPr="006A0824" w:rsidTr="00FC4C6F">
        <w:trPr>
          <w:trHeight w:val="614"/>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行使主体</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黑体" w:hint="eastAsia"/>
                <w:color w:val="000000"/>
                <w:kern w:val="0"/>
                <w:sz w:val="24"/>
              </w:rPr>
              <w:t>西塞山区农林水利局</w:t>
            </w:r>
          </w:p>
        </w:tc>
      </w:tr>
      <w:tr w:rsidR="00FC4C6F" w:rsidRPr="006A0824" w:rsidTr="00FC4C6F">
        <w:trPr>
          <w:trHeight w:val="4483"/>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职权依据</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【法规】《饲料和饲料添加剂管理条例》（2011年11月3日国务院令第609号 ）</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第四十三条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（一）对饲料、饲料添加剂进行再加工或者添加物质的；</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（二）经营无产品标签、无生产许可证、无产品质量检验合格证的饲料、饲料添加剂的；</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（三）经营无产品批准文号的饲料添加剂、添加剂预混合饲料的；</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（四）经营用国务院农业行政主管部门公布的饲料原料目录、饲料添加剂品种目录和药物饲料添加剂品种目录以外的物质生产的饲料的；</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（五）经营未取得新饲料、新饲料添加剂证书的新饲料、新饲料添加剂或者未取得饲料、饲料添加剂进口登记证的进口饲料、进口饲料添加剂以及禁用的饲料、饲料添加剂的。</w:t>
            </w:r>
          </w:p>
        </w:tc>
      </w:tr>
      <w:tr w:rsidR="00FC4C6F" w:rsidRPr="006A0824" w:rsidTr="00FC4C6F">
        <w:trPr>
          <w:trHeight w:val="1140"/>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违法违规行为</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饲料、饲料添加剂经营的单位和个人不按规定进行经营或在经营过程中对饲料进行再加工或者添加物质的</w:t>
            </w:r>
          </w:p>
        </w:tc>
      </w:tr>
      <w:tr w:rsidR="00FC4C6F" w:rsidRPr="006A0824" w:rsidTr="00FC4C6F">
        <w:trPr>
          <w:trHeight w:val="614"/>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处罚种类</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1、责令限期改正。2、没收。3、罚款。</w:t>
            </w:r>
          </w:p>
        </w:tc>
      </w:tr>
      <w:tr w:rsidR="00FC4C6F" w:rsidRPr="006A0824" w:rsidTr="00FC4C6F">
        <w:trPr>
          <w:trHeight w:val="1231"/>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细化量化自由裁量权标准</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tc>
      </w:tr>
      <w:tr w:rsidR="00FC4C6F" w:rsidRPr="006A0824" w:rsidTr="00FC4C6F">
        <w:trPr>
          <w:trHeight w:val="614"/>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lastRenderedPageBreak/>
              <w:t>职权运行流程</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立案→调查取证→审查→告知→决定→送达→执行</w:t>
            </w:r>
          </w:p>
        </w:tc>
      </w:tr>
      <w:tr w:rsidR="00FC4C6F" w:rsidRPr="006A0824" w:rsidTr="00FC4C6F">
        <w:trPr>
          <w:trHeight w:val="7320"/>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责任事项</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1.立案责任：通过检查发现、群众举报或投诉、上级交办、有关部门移送、媒体曝光、监督抽检、违法行为人交代等途径获取线索，发现涉嫌饲料、饲料添加剂经营的单位和个人不按规定进行经营或在经营过程中对饲料进行再加工或者添加物质的,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3.审查责任：审查案件调查报告，对违法行为认定、证据、调查取证程序、法律适用、处罚种类和幅度、当事人陈述和申辩理由等方面进行审查，提出处理意见（主要证据不足时，以适当的方式补充调查）。</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4.告知责任：作出行政处罚决定前，应制作《行政处罚事先告知书》送达当事人，告知拟认定的违法行为和处罚种类、幅度，及其享有的陈述、申辩等权利。符合听证规定的，制作并送达《行政处罚听证告知书》。</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5.决定责任：未依法提出听证、陈述、申辩申请，或者申请未被采纳，作出处罚决定，制作《行政处罚决定书》，载明行政处罚种类、幅度，交款方式，逾期不缴纳罚款的责任，申请行政复议、行政诉讼的时间期限等内容。</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6.送达责任：行政处罚决定书应当在宣告后当场交付当事人；当事人不在场的，行政机关应当在七日内依照民事诉讼法的有关规定，将行政处罚决定书送达当事人。</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7.执行责任：敦促当事人履行行政处罚内容，经催告拒不履行的，依法申请法院强制执行。</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 xml:space="preserve">8.监督责任：严格遵守收支两条线，罚没财物上缴国库，对执行完毕的案件及时办理结案。 </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9.其他法律法规规章文件规定应履行的其他责任。</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p>
        </w:tc>
      </w:tr>
      <w:tr w:rsidR="00FC4C6F" w:rsidRPr="006A0824" w:rsidTr="006A0824">
        <w:trPr>
          <w:trHeight w:val="65"/>
        </w:trPr>
        <w:tc>
          <w:tcPr>
            <w:tcW w:w="1666" w:type="dxa"/>
            <w:tcBorders>
              <w:top w:val="single" w:sz="6" w:space="0" w:color="auto"/>
              <w:left w:val="single" w:sz="6" w:space="0" w:color="auto"/>
              <w:bottom w:val="nil"/>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责任事项依据</w:t>
            </w:r>
          </w:p>
        </w:tc>
        <w:tc>
          <w:tcPr>
            <w:tcW w:w="7011" w:type="dxa"/>
            <w:tcBorders>
              <w:top w:val="single" w:sz="6" w:space="0" w:color="auto"/>
              <w:left w:val="single" w:sz="6" w:space="0" w:color="auto"/>
              <w:bottom w:val="single" w:sz="2" w:space="0" w:color="000000"/>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lastRenderedPageBreak/>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FC4C6F" w:rsidRPr="006A0824" w:rsidTr="00FC4C6F">
        <w:trPr>
          <w:trHeight w:val="5856"/>
        </w:trPr>
        <w:tc>
          <w:tcPr>
            <w:tcW w:w="1666" w:type="dxa"/>
            <w:tcBorders>
              <w:top w:val="nil"/>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p>
        </w:tc>
        <w:tc>
          <w:tcPr>
            <w:tcW w:w="7011" w:type="dxa"/>
            <w:tcBorders>
              <w:top w:val="single" w:sz="2" w:space="0" w:color="000000"/>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p>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FC4C6F" w:rsidRPr="006A0824" w:rsidTr="006A0824">
        <w:trPr>
          <w:trHeight w:val="552"/>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职责边界</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6A0824" w:rsidP="006A0824">
            <w:pPr>
              <w:tabs>
                <w:tab w:val="left" w:pos="900"/>
              </w:tabs>
              <w:autoSpaceDE w:val="0"/>
              <w:autoSpaceDN w:val="0"/>
              <w:adjustRightInd w:val="0"/>
              <w:rPr>
                <w:rFonts w:ascii="仿宋_GB2312" w:eastAsia="仿宋_GB2312" w:hAnsi="仿宋" w:cs="仿宋" w:hint="eastAsia"/>
                <w:color w:val="000000"/>
                <w:kern w:val="0"/>
                <w:sz w:val="24"/>
              </w:rPr>
            </w:pPr>
            <w:r>
              <w:rPr>
                <w:rFonts w:ascii="仿宋_GB2312" w:eastAsia="仿宋_GB2312" w:hAnsi="仿宋" w:cs="仿宋"/>
                <w:color w:val="000000"/>
                <w:kern w:val="0"/>
                <w:sz w:val="24"/>
              </w:rPr>
              <w:tab/>
            </w:r>
            <w:r>
              <w:rPr>
                <w:rFonts w:ascii="仿宋_GB2312" w:eastAsia="仿宋_GB2312" w:hAnsi="仿宋" w:cs="仿宋" w:hint="eastAsia"/>
                <w:color w:val="000000"/>
                <w:kern w:val="0"/>
                <w:sz w:val="24"/>
              </w:rPr>
              <w:t>无</w:t>
            </w:r>
          </w:p>
        </w:tc>
      </w:tr>
      <w:tr w:rsidR="00FC4C6F" w:rsidRPr="006A0824" w:rsidTr="00FC4C6F">
        <w:trPr>
          <w:trHeight w:val="614"/>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承办机构</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西塞山区你动物卫生监督所</w:t>
            </w:r>
          </w:p>
        </w:tc>
      </w:tr>
      <w:tr w:rsidR="00FC4C6F" w:rsidRPr="006A0824" w:rsidTr="00FC4C6F">
        <w:trPr>
          <w:trHeight w:val="614"/>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lastRenderedPageBreak/>
              <w:t>咨询方式</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0714-6289192</w:t>
            </w:r>
          </w:p>
        </w:tc>
      </w:tr>
      <w:tr w:rsidR="00FC4C6F" w:rsidRPr="006A0824" w:rsidTr="00FC4C6F">
        <w:trPr>
          <w:trHeight w:val="614"/>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监督投诉方式</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0714-6482862</w:t>
            </w:r>
          </w:p>
        </w:tc>
      </w:tr>
      <w:tr w:rsidR="00FC4C6F" w:rsidRPr="006A0824" w:rsidTr="00FC4C6F">
        <w:trPr>
          <w:trHeight w:val="614"/>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审核意见</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left"/>
              <w:rPr>
                <w:rFonts w:ascii="仿宋_GB2312" w:eastAsia="仿宋_GB2312" w:hAnsi="仿宋" w:cs="仿宋" w:hint="eastAsia"/>
                <w:color w:val="000000"/>
                <w:kern w:val="0"/>
                <w:sz w:val="24"/>
              </w:rPr>
            </w:pPr>
            <w:r w:rsidRPr="006A0824">
              <w:rPr>
                <w:rFonts w:ascii="仿宋_GB2312" w:eastAsia="仿宋_GB2312" w:hAnsi="仿宋" w:cs="仿宋" w:hint="eastAsia"/>
                <w:color w:val="000000"/>
                <w:kern w:val="0"/>
                <w:sz w:val="24"/>
              </w:rPr>
              <w:t>（由审改办统一填写）</w:t>
            </w:r>
          </w:p>
        </w:tc>
      </w:tr>
      <w:tr w:rsidR="00FC4C6F" w:rsidRPr="006A0824" w:rsidTr="00FC4C6F">
        <w:trPr>
          <w:trHeight w:val="614"/>
        </w:trPr>
        <w:tc>
          <w:tcPr>
            <w:tcW w:w="1666" w:type="dxa"/>
            <w:tcBorders>
              <w:top w:val="single" w:sz="6" w:space="0" w:color="auto"/>
              <w:left w:val="single" w:sz="6" w:space="0" w:color="auto"/>
              <w:bottom w:val="single" w:sz="6" w:space="0" w:color="auto"/>
              <w:right w:val="single" w:sz="6" w:space="0" w:color="auto"/>
            </w:tcBorders>
          </w:tcPr>
          <w:p w:rsidR="00FC4C6F" w:rsidRPr="00FC4C6F" w:rsidRDefault="00FC4C6F" w:rsidP="00FC4C6F">
            <w:pPr>
              <w:autoSpaceDE w:val="0"/>
              <w:autoSpaceDN w:val="0"/>
              <w:adjustRightInd w:val="0"/>
              <w:jc w:val="center"/>
              <w:rPr>
                <w:rFonts w:ascii="黑体" w:eastAsia="黑体" w:cs="黑体"/>
                <w:color w:val="000000"/>
                <w:kern w:val="0"/>
                <w:sz w:val="24"/>
              </w:rPr>
            </w:pPr>
            <w:r w:rsidRPr="00FC4C6F">
              <w:rPr>
                <w:rFonts w:ascii="黑体" w:eastAsia="黑体" w:cs="黑体" w:hint="eastAsia"/>
                <w:color w:val="000000"/>
                <w:kern w:val="0"/>
                <w:sz w:val="24"/>
              </w:rPr>
              <w:t>备注</w:t>
            </w:r>
          </w:p>
        </w:tc>
        <w:tc>
          <w:tcPr>
            <w:tcW w:w="7011" w:type="dxa"/>
            <w:tcBorders>
              <w:top w:val="single" w:sz="6" w:space="0" w:color="auto"/>
              <w:left w:val="single" w:sz="6" w:space="0" w:color="auto"/>
              <w:bottom w:val="single" w:sz="6" w:space="0" w:color="auto"/>
              <w:right w:val="single" w:sz="6" w:space="0" w:color="auto"/>
            </w:tcBorders>
          </w:tcPr>
          <w:p w:rsidR="00FC4C6F" w:rsidRPr="006A0824" w:rsidRDefault="00FC4C6F" w:rsidP="00FC4C6F">
            <w:pPr>
              <w:autoSpaceDE w:val="0"/>
              <w:autoSpaceDN w:val="0"/>
              <w:adjustRightInd w:val="0"/>
              <w:jc w:val="right"/>
              <w:rPr>
                <w:rFonts w:ascii="仿宋_GB2312" w:eastAsia="仿宋_GB2312" w:hAnsi="仿宋" w:cs="仿宋" w:hint="eastAsia"/>
                <w:color w:val="000000"/>
                <w:kern w:val="0"/>
                <w:sz w:val="24"/>
              </w:rPr>
            </w:pPr>
          </w:p>
        </w:tc>
      </w:tr>
    </w:tbl>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6A0824" w:rsidRDefault="006A0824">
      <w:pPr>
        <w:jc w:val="center"/>
        <w:rPr>
          <w:rFonts w:hint="eastAsia"/>
          <w:b/>
          <w:sz w:val="36"/>
          <w:szCs w:val="36"/>
        </w:rPr>
      </w:pPr>
    </w:p>
    <w:p w:rsidR="007448D0" w:rsidRDefault="007448D0">
      <w:pPr>
        <w:jc w:val="center"/>
        <w:rPr>
          <w:b/>
          <w:sz w:val="36"/>
          <w:szCs w:val="36"/>
        </w:rPr>
      </w:pPr>
      <w:r w:rsidRPr="00F32176">
        <w:rPr>
          <w:rFonts w:hint="eastAsia"/>
          <w:b/>
          <w:sz w:val="36"/>
          <w:szCs w:val="36"/>
        </w:rPr>
        <w:t>对饲料、饲料添加剂经营的单位和个人不按规定进行经营或在经营过程中对饲料进行再加工或者添加物质的处罚</w:t>
      </w:r>
      <w:r>
        <w:rPr>
          <w:rFonts w:hint="eastAsia"/>
          <w:b/>
          <w:sz w:val="36"/>
          <w:szCs w:val="36"/>
        </w:rPr>
        <w:t>流程图</w:t>
      </w:r>
    </w:p>
    <w:p w:rsidR="007448D0" w:rsidRDefault="007448D0">
      <w:pPr>
        <w:rPr>
          <w:sz w:val="32"/>
          <w:szCs w:val="32"/>
        </w:rPr>
      </w:pPr>
    </w:p>
    <w:p w:rsidR="007448D0" w:rsidRDefault="005A2E6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21.1pt;margin-top:15.6pt;width:425.05pt;height:578.3pt;z-index:1;visibility:visible">
            <v:imagedata r:id="rId6" o:title=""/>
            <w10:wrap type="square"/>
          </v:shape>
        </w:pict>
      </w:r>
    </w:p>
    <w:sectPr w:rsidR="007448D0" w:rsidSect="002848BE">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3A2" w:rsidRDefault="001C13A2" w:rsidP="00F12667">
      <w:r>
        <w:separator/>
      </w:r>
    </w:p>
  </w:endnote>
  <w:endnote w:type="continuationSeparator" w:id="0">
    <w:p w:rsidR="001C13A2" w:rsidRDefault="001C13A2" w:rsidP="00F12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3A2" w:rsidRDefault="001C13A2" w:rsidP="00F12667">
      <w:r>
        <w:separator/>
      </w:r>
    </w:p>
  </w:footnote>
  <w:footnote w:type="continuationSeparator" w:id="0">
    <w:p w:rsidR="001C13A2" w:rsidRDefault="001C13A2" w:rsidP="00F126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8BE"/>
    <w:rsid w:val="001C13A2"/>
    <w:rsid w:val="002848BE"/>
    <w:rsid w:val="00293C6C"/>
    <w:rsid w:val="005A2E67"/>
    <w:rsid w:val="006A0824"/>
    <w:rsid w:val="007448D0"/>
    <w:rsid w:val="00CB7B9F"/>
    <w:rsid w:val="00D17D2E"/>
    <w:rsid w:val="00F12667"/>
    <w:rsid w:val="00F210B6"/>
    <w:rsid w:val="00F32176"/>
    <w:rsid w:val="00FC4C6F"/>
    <w:rsid w:val="6F9045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2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2667"/>
    <w:rPr>
      <w:sz w:val="18"/>
      <w:szCs w:val="18"/>
    </w:rPr>
  </w:style>
  <w:style w:type="paragraph" w:styleId="a4">
    <w:name w:val="footer"/>
    <w:basedOn w:val="a"/>
    <w:link w:val="Char0"/>
    <w:uiPriority w:val="99"/>
    <w:semiHidden/>
    <w:unhideWhenUsed/>
    <w:rsid w:val="00F126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26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微软用户</cp:lastModifiedBy>
  <cp:revision>5</cp:revision>
  <cp:lastPrinted>2016-06-19T10:24:00Z</cp:lastPrinted>
  <dcterms:created xsi:type="dcterms:W3CDTF">2014-10-29T12:08:00Z</dcterms:created>
  <dcterms:modified xsi:type="dcterms:W3CDTF">2016-06-23T08:49:00Z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