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62" w:type="dxa"/>
        <w:tblInd w:w="93" w:type="dxa"/>
        <w:tblLook w:val="04A0"/>
      </w:tblPr>
      <w:tblGrid>
        <w:gridCol w:w="1660"/>
        <w:gridCol w:w="7002"/>
      </w:tblGrid>
      <w:tr w:rsidR="00F26DA6" w:rsidRPr="00F26DA6" w:rsidTr="00F26DA6">
        <w:trPr>
          <w:trHeight w:val="510"/>
        </w:trPr>
        <w:tc>
          <w:tcPr>
            <w:tcW w:w="8662" w:type="dxa"/>
            <w:gridSpan w:val="2"/>
            <w:tcBorders>
              <w:top w:val="nil"/>
              <w:left w:val="nil"/>
              <w:bottom w:val="nil"/>
              <w:right w:val="nil"/>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40"/>
                <w:szCs w:val="40"/>
              </w:rPr>
            </w:pPr>
            <w:bookmarkStart w:id="0" w:name="_GoBack"/>
            <w:bookmarkEnd w:id="0"/>
            <w:r w:rsidRPr="00F26DA6">
              <w:rPr>
                <w:rFonts w:ascii="黑体" w:eastAsia="黑体" w:hAnsi="黑体" w:cs="宋体" w:hint="eastAsia"/>
                <w:kern w:val="0"/>
                <w:sz w:val="40"/>
                <w:szCs w:val="40"/>
              </w:rPr>
              <w:t>行政职权基本信息表</w:t>
            </w:r>
          </w:p>
        </w:tc>
      </w:tr>
      <w:tr w:rsidR="00F26DA6" w:rsidRPr="00F26DA6" w:rsidTr="00F26DA6">
        <w:trPr>
          <w:trHeight w:val="405"/>
        </w:trPr>
        <w:tc>
          <w:tcPr>
            <w:tcW w:w="8662" w:type="dxa"/>
            <w:gridSpan w:val="2"/>
            <w:tcBorders>
              <w:top w:val="nil"/>
              <w:left w:val="nil"/>
              <w:bottom w:val="nil"/>
              <w:right w:val="nil"/>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32"/>
                <w:szCs w:val="32"/>
              </w:rPr>
            </w:pPr>
            <w:r w:rsidRPr="00F26DA6">
              <w:rPr>
                <w:rFonts w:ascii="黑体" w:eastAsia="黑体" w:hAnsi="黑体" w:cs="宋体" w:hint="eastAsia"/>
                <w:kern w:val="0"/>
                <w:sz w:val="32"/>
                <w:szCs w:val="32"/>
              </w:rPr>
              <w:t>（行政处罚）</w:t>
            </w:r>
          </w:p>
        </w:tc>
      </w:tr>
      <w:tr w:rsidR="00F26DA6" w:rsidRPr="00F26DA6" w:rsidTr="008E747A">
        <w:trPr>
          <w:trHeight w:val="600"/>
        </w:trPr>
        <w:tc>
          <w:tcPr>
            <w:tcW w:w="8662" w:type="dxa"/>
            <w:gridSpan w:val="2"/>
            <w:tcBorders>
              <w:top w:val="nil"/>
              <w:left w:val="nil"/>
              <w:bottom w:val="single" w:sz="4" w:space="0" w:color="auto"/>
              <w:right w:val="nil"/>
            </w:tcBorders>
            <w:shd w:val="clear" w:color="auto" w:fill="auto"/>
            <w:noWrap/>
            <w:vAlign w:val="center"/>
            <w:hideMark/>
          </w:tcPr>
          <w:p w:rsidR="00F26DA6" w:rsidRPr="00F26DA6" w:rsidRDefault="00F26DA6" w:rsidP="00F26DA6">
            <w:pPr>
              <w:widowControl/>
              <w:jc w:val="left"/>
              <w:rPr>
                <w:rFonts w:ascii="黑体" w:eastAsia="黑体" w:hAnsi="黑体" w:cs="宋体"/>
                <w:kern w:val="0"/>
                <w:sz w:val="24"/>
              </w:rPr>
            </w:pPr>
            <w:r w:rsidRPr="00F26DA6">
              <w:rPr>
                <w:rFonts w:ascii="黑体" w:eastAsia="黑体" w:hAnsi="黑体" w:cs="宋体" w:hint="eastAsia"/>
                <w:kern w:val="0"/>
                <w:sz w:val="24"/>
              </w:rPr>
              <w:t>填报单位：</w:t>
            </w:r>
            <w:r w:rsidRPr="008F1F0A">
              <w:rPr>
                <w:rFonts w:ascii="仿宋_GB2312" w:eastAsia="仿宋_GB2312" w:hAnsi="仿宋" w:cs="宋体" w:hint="eastAsia"/>
                <w:kern w:val="0"/>
                <w:sz w:val="32"/>
                <w:szCs w:val="32"/>
              </w:rPr>
              <w:t>西塞山区农林水利局</w:t>
            </w:r>
          </w:p>
        </w:tc>
      </w:tr>
      <w:tr w:rsidR="00F26DA6" w:rsidRPr="00F26DA6" w:rsidTr="00F26DA6">
        <w:trPr>
          <w:trHeight w:val="4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职权编码</w:t>
            </w:r>
          </w:p>
        </w:tc>
        <w:tc>
          <w:tcPr>
            <w:tcW w:w="7002" w:type="dxa"/>
            <w:tcBorders>
              <w:top w:val="single" w:sz="4" w:space="0" w:color="auto"/>
              <w:left w:val="nil"/>
              <w:bottom w:val="single" w:sz="4" w:space="0" w:color="auto"/>
              <w:right w:val="single" w:sz="4" w:space="0" w:color="auto"/>
            </w:tcBorders>
            <w:shd w:val="clear" w:color="auto" w:fill="auto"/>
            <w:noWrap/>
            <w:vAlign w:val="center"/>
            <w:hideMark/>
          </w:tcPr>
          <w:p w:rsidR="00F26DA6" w:rsidRPr="00F26DA6" w:rsidRDefault="008F1F0A" w:rsidP="00F26DA6">
            <w:pPr>
              <w:widowControl/>
              <w:jc w:val="left"/>
              <w:rPr>
                <w:rFonts w:ascii="仿宋" w:eastAsia="仿宋" w:hAnsi="仿宋" w:cs="宋体"/>
                <w:kern w:val="0"/>
                <w:sz w:val="24"/>
              </w:rPr>
            </w:pPr>
            <w:r>
              <w:rPr>
                <w:rFonts w:ascii="仿宋_GB2312" w:eastAsia="仿宋_GB2312" w:hAnsi="仿宋" w:cs="宋体" w:hint="eastAsia"/>
                <w:kern w:val="0"/>
                <w:sz w:val="24"/>
              </w:rPr>
              <w:t>57153172-9-CF-20600</w:t>
            </w:r>
          </w:p>
        </w:tc>
      </w:tr>
      <w:tr w:rsidR="00F26DA6" w:rsidRPr="00F26DA6" w:rsidTr="008E747A">
        <w:trPr>
          <w:trHeight w:val="4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职权名称</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对逃避、拒绝种子监督管理人员进行检查行为的处罚</w:t>
            </w:r>
          </w:p>
        </w:tc>
      </w:tr>
      <w:tr w:rsidR="00F26DA6" w:rsidRPr="00F26DA6" w:rsidTr="008E747A">
        <w:trPr>
          <w:trHeight w:val="4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子项名称</w:t>
            </w:r>
          </w:p>
        </w:tc>
        <w:tc>
          <w:tcPr>
            <w:tcW w:w="7002" w:type="dxa"/>
            <w:tcBorders>
              <w:top w:val="single" w:sz="4" w:space="0" w:color="auto"/>
              <w:left w:val="nil"/>
              <w:bottom w:val="single" w:sz="4" w:space="0" w:color="auto"/>
              <w:right w:val="single" w:sz="4" w:space="0" w:color="auto"/>
            </w:tcBorders>
            <w:shd w:val="clear" w:color="auto" w:fill="auto"/>
            <w:noWrap/>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无</w:t>
            </w:r>
          </w:p>
        </w:tc>
      </w:tr>
      <w:tr w:rsidR="00F26DA6" w:rsidRPr="00F26DA6" w:rsidTr="008E747A">
        <w:trPr>
          <w:trHeight w:val="4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行使主体</w:t>
            </w:r>
          </w:p>
        </w:tc>
        <w:tc>
          <w:tcPr>
            <w:tcW w:w="7002" w:type="dxa"/>
            <w:tcBorders>
              <w:top w:val="single" w:sz="4" w:space="0" w:color="auto"/>
              <w:left w:val="nil"/>
              <w:bottom w:val="single" w:sz="4" w:space="0" w:color="auto"/>
              <w:right w:val="single" w:sz="4" w:space="0" w:color="auto"/>
            </w:tcBorders>
            <w:shd w:val="clear" w:color="auto" w:fill="auto"/>
            <w:noWrap/>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西塞山区农林水利局</w:t>
            </w:r>
          </w:p>
        </w:tc>
      </w:tr>
      <w:tr w:rsidR="00F26DA6" w:rsidRPr="00F26DA6" w:rsidTr="008E747A">
        <w:trPr>
          <w:trHeight w:val="129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职权依据</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【规章】《湖北省关于农作物种子生产经营活动监督管理的暂行规定》(2005年6月20日省人民政府常务会议审议通过 2005年10月1日起施行)</w:t>
            </w:r>
            <w:r w:rsidRPr="008F1F0A">
              <w:rPr>
                <w:rFonts w:ascii="仿宋_GB2312" w:eastAsia="仿宋_GB2312" w:hAnsi="仿宋" w:cs="宋体" w:hint="eastAsia"/>
                <w:kern w:val="0"/>
                <w:sz w:val="24"/>
              </w:rPr>
              <w:br/>
              <w:t>第二十九条　逃避、拒绝种子监督管理人员进行检查的，由县以上农业行政主管部门予以警告，并处以1000元以下罚款。</w:t>
            </w:r>
          </w:p>
        </w:tc>
      </w:tr>
      <w:tr w:rsidR="00F26DA6" w:rsidRPr="00F26DA6" w:rsidTr="008E747A">
        <w:trPr>
          <w:trHeight w:val="69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违法违规行为</w:t>
            </w:r>
          </w:p>
        </w:tc>
        <w:tc>
          <w:tcPr>
            <w:tcW w:w="7002" w:type="dxa"/>
            <w:tcBorders>
              <w:top w:val="single" w:sz="4" w:space="0" w:color="auto"/>
              <w:left w:val="nil"/>
              <w:bottom w:val="single" w:sz="4" w:space="0" w:color="auto"/>
              <w:right w:val="single" w:sz="4" w:space="0" w:color="auto"/>
            </w:tcBorders>
            <w:shd w:val="clear" w:color="auto" w:fill="auto"/>
            <w:noWrap/>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逃避、拒绝种子监督管理人员进行检查行为的</w:t>
            </w:r>
          </w:p>
        </w:tc>
      </w:tr>
      <w:tr w:rsidR="00F26DA6" w:rsidRPr="00F26DA6" w:rsidTr="008E747A">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处罚种类</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1、警告。2、罚款。</w:t>
            </w:r>
          </w:p>
        </w:tc>
      </w:tr>
      <w:tr w:rsidR="00F26DA6" w:rsidRPr="00F26DA6" w:rsidTr="008E747A">
        <w:trPr>
          <w:trHeight w:val="81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细化量化自由裁量权标准</w:t>
            </w:r>
          </w:p>
        </w:tc>
        <w:tc>
          <w:tcPr>
            <w:tcW w:w="7002" w:type="dxa"/>
            <w:tcBorders>
              <w:top w:val="single" w:sz="4" w:space="0" w:color="auto"/>
              <w:left w:val="nil"/>
              <w:bottom w:val="single" w:sz="4" w:space="0" w:color="auto"/>
              <w:right w:val="single" w:sz="4" w:space="0" w:color="auto"/>
            </w:tcBorders>
            <w:shd w:val="clear" w:color="auto" w:fill="auto"/>
            <w:noWrap/>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予以警告，并处以1000元以下罚款。</w:t>
            </w:r>
          </w:p>
        </w:tc>
      </w:tr>
      <w:tr w:rsidR="00F26DA6" w:rsidRPr="00F26DA6" w:rsidTr="008E747A">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职权运行流程</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立案→调查取证→审查→告知→决定→送达→执行</w:t>
            </w:r>
          </w:p>
        </w:tc>
      </w:tr>
      <w:tr w:rsidR="00F26DA6" w:rsidRPr="00F26DA6" w:rsidTr="008F1F0A">
        <w:trPr>
          <w:trHeight w:val="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责任事项</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1.立案责任：通过检查发现、群众举报或投诉、上级交办、有关部门移送、媒体曝光、监督抽检、违法行为人交代等途径获取线索，发现涉嫌逃避、拒绝种子监督管理人员进行检查行为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r w:rsidRPr="008F1F0A">
              <w:rPr>
                <w:rFonts w:ascii="仿宋_GB2312" w:eastAsia="仿宋_GB2312" w:hAnsi="仿宋" w:cs="宋体" w:hint="eastAsia"/>
                <w:kern w:val="0"/>
                <w:sz w:val="24"/>
              </w:rPr>
              <w:br/>
              <w:t>3.审查责任：审查案件调查报告，对违法行为认定、证据、调查取证程序、法律适用、处罚种类和幅度、当事人陈述和申辩理由等方面进行审查，提出处理意见（主要证据不足时，以适当的方式补充调查）。</w:t>
            </w:r>
            <w:r w:rsidRPr="008F1F0A">
              <w:rPr>
                <w:rFonts w:ascii="仿宋_GB2312" w:eastAsia="仿宋_GB2312" w:hAnsi="仿宋" w:cs="宋体" w:hint="eastAsia"/>
                <w:kern w:val="0"/>
                <w:sz w:val="24"/>
              </w:rPr>
              <w:br/>
              <w:t>4.告知责任：作出行政处罚决定前，应制作《行政处罚事先告知书》送达当事人，告知拟认定的违法行为和处罚种类、幅度，及其享有的陈述、申辩等权利。符合听证规定的，制作并送达《行政处罚听证告知书》。</w:t>
            </w:r>
            <w:r w:rsidRPr="008F1F0A">
              <w:rPr>
                <w:rFonts w:ascii="仿宋_GB2312" w:eastAsia="仿宋_GB2312" w:hAnsi="仿宋" w:cs="宋体" w:hint="eastAsia"/>
                <w:kern w:val="0"/>
                <w:sz w:val="24"/>
              </w:rPr>
              <w:br/>
              <w:t>5.决定责任：未依法提出听证、陈述、申辩申请，或者申请未被采纳，作出处罚决定，制作《行政处罚决定书》，载明行政处罚</w:t>
            </w:r>
            <w:r w:rsidRPr="008F1F0A">
              <w:rPr>
                <w:rFonts w:ascii="仿宋_GB2312" w:eastAsia="仿宋_GB2312" w:hAnsi="仿宋" w:cs="宋体" w:hint="eastAsia"/>
                <w:kern w:val="0"/>
                <w:sz w:val="24"/>
              </w:rPr>
              <w:lastRenderedPageBreak/>
              <w:t>种类、幅度，交款方式，逾期不缴纳罚款的责任，申请行政复议、行政诉讼的时间期限等内容。</w:t>
            </w:r>
            <w:r w:rsidRPr="008F1F0A">
              <w:rPr>
                <w:rFonts w:ascii="仿宋_GB2312" w:eastAsia="仿宋_GB2312" w:hAnsi="仿宋" w:cs="宋体" w:hint="eastAsia"/>
                <w:kern w:val="0"/>
                <w:sz w:val="24"/>
              </w:rPr>
              <w:br/>
              <w:t>6.送达责任：行政处罚决定书应当在宣告后当场交付当事人；当事人不在场的，行政机关应当在七日内依照民事诉讼法的有关规定，将行政处罚决定书送达当事人。</w:t>
            </w:r>
            <w:r w:rsidRPr="008F1F0A">
              <w:rPr>
                <w:rFonts w:ascii="仿宋_GB2312" w:eastAsia="仿宋_GB2312" w:hAnsi="仿宋" w:cs="宋体" w:hint="eastAsia"/>
                <w:kern w:val="0"/>
                <w:sz w:val="24"/>
              </w:rPr>
              <w:br/>
              <w:t>7.执行责任：敦促当事人履行行政处罚内容，经催告拒不履行的，依法申请法院强制执行。</w:t>
            </w:r>
            <w:r w:rsidRPr="008F1F0A">
              <w:rPr>
                <w:rFonts w:ascii="仿宋_GB2312" w:eastAsia="仿宋_GB2312" w:hAnsi="仿宋" w:cs="宋体" w:hint="eastAsia"/>
                <w:kern w:val="0"/>
                <w:sz w:val="24"/>
              </w:rPr>
              <w:br/>
              <w:t xml:space="preserve">8.监督责任：严格遵守收支两条线，罚没财物上缴国库，对执行完毕的案件及时办理结案。 </w:t>
            </w:r>
            <w:r w:rsidRPr="008F1F0A">
              <w:rPr>
                <w:rFonts w:ascii="仿宋_GB2312" w:eastAsia="仿宋_GB2312" w:hAnsi="仿宋" w:cs="宋体" w:hint="eastAsia"/>
                <w:kern w:val="0"/>
                <w:sz w:val="24"/>
              </w:rPr>
              <w:br/>
              <w:t>9.其他法律法规规章文件规定应履行的其他责任。</w:t>
            </w:r>
          </w:p>
        </w:tc>
      </w:tr>
      <w:tr w:rsidR="00F26DA6" w:rsidRPr="00F26DA6" w:rsidTr="008E747A">
        <w:trPr>
          <w:trHeight w:val="6270"/>
        </w:trPr>
        <w:tc>
          <w:tcPr>
            <w:tcW w:w="166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lastRenderedPageBreak/>
              <w:t>责任事项依据</w:t>
            </w:r>
          </w:p>
        </w:tc>
        <w:tc>
          <w:tcPr>
            <w:tcW w:w="7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8F1F0A">
              <w:rPr>
                <w:rFonts w:ascii="仿宋_GB2312" w:eastAsia="仿宋_GB2312" w:hAnsi="仿宋" w:cs="宋体" w:hint="eastAsia"/>
                <w:kern w:val="0"/>
                <w:sz w:val="24"/>
              </w:rPr>
              <w:b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r w:rsidRPr="008F1F0A">
              <w:rPr>
                <w:rFonts w:ascii="仿宋_GB2312" w:eastAsia="仿宋_GB2312" w:hAnsi="仿宋" w:cs="宋体" w:hint="eastAsia"/>
                <w:kern w:val="0"/>
                <w:sz w:val="24"/>
              </w:rPr>
              <w:b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8F1F0A">
              <w:rPr>
                <w:rFonts w:ascii="仿宋_GB2312" w:eastAsia="仿宋_GB2312" w:hAnsi="仿宋" w:cs="宋体" w:hint="eastAsia"/>
                <w:kern w:val="0"/>
                <w:sz w:val="24"/>
              </w:rPr>
              <w:b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r w:rsidRPr="008F1F0A">
              <w:rPr>
                <w:rFonts w:ascii="仿宋_GB2312" w:eastAsia="仿宋_GB2312" w:hAnsi="仿宋" w:cs="宋体" w:hint="eastAsia"/>
                <w:kern w:val="0"/>
                <w:sz w:val="24"/>
              </w:rPr>
              <w:b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F26DA6" w:rsidRPr="00F26DA6" w:rsidTr="008E747A">
        <w:trPr>
          <w:trHeight w:val="80"/>
        </w:trPr>
        <w:tc>
          <w:tcPr>
            <w:tcW w:w="1660" w:type="dxa"/>
            <w:vMerge/>
            <w:tcBorders>
              <w:top w:val="single" w:sz="4" w:space="0" w:color="auto"/>
              <w:left w:val="single" w:sz="4" w:space="0" w:color="auto"/>
              <w:bottom w:val="single" w:sz="4" w:space="0" w:color="auto"/>
              <w:right w:val="nil"/>
            </w:tcBorders>
            <w:vAlign w:val="center"/>
            <w:hideMark/>
          </w:tcPr>
          <w:p w:rsidR="00F26DA6" w:rsidRPr="00F26DA6" w:rsidRDefault="00F26DA6" w:rsidP="00F26DA6">
            <w:pPr>
              <w:widowControl/>
              <w:jc w:val="left"/>
              <w:rPr>
                <w:rFonts w:ascii="黑体" w:eastAsia="黑体" w:hAnsi="黑体" w:cs="宋体"/>
                <w:kern w:val="0"/>
                <w:sz w:val="24"/>
              </w:rPr>
            </w:pPr>
          </w:p>
        </w:tc>
        <w:tc>
          <w:tcPr>
            <w:tcW w:w="7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w:t>
            </w:r>
            <w:r w:rsidRPr="008F1F0A">
              <w:rPr>
                <w:rFonts w:ascii="仿宋_GB2312" w:eastAsia="仿宋_GB2312" w:hAnsi="仿宋" w:cs="宋体" w:hint="eastAsia"/>
                <w:kern w:val="0"/>
                <w:sz w:val="24"/>
              </w:rPr>
              <w:lastRenderedPageBreak/>
              <w:t>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r w:rsidRPr="008F1F0A">
              <w:rPr>
                <w:rFonts w:ascii="仿宋_GB2312" w:eastAsia="仿宋_GB2312" w:hAnsi="仿宋" w:cs="宋体" w:hint="eastAsia"/>
                <w:kern w:val="0"/>
                <w:sz w:val="24"/>
              </w:rPr>
              <w:b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r w:rsidRPr="008F1F0A">
              <w:rPr>
                <w:rFonts w:ascii="仿宋_GB2312" w:eastAsia="仿宋_GB2312" w:hAnsi="仿宋" w:cs="宋体" w:hint="eastAsia"/>
                <w:kern w:val="0"/>
                <w:sz w:val="24"/>
              </w:rPr>
              <w:b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F26DA6" w:rsidRPr="00F26DA6" w:rsidTr="008E747A">
        <w:trPr>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lastRenderedPageBreak/>
              <w:t>职责边界</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 xml:space="preserve">一、责任分工                                                  1.县级：负责本行政区域内的种子监督管理工作。2.乡镇： 无。    </w:t>
            </w:r>
            <w:r w:rsidRPr="008F1F0A">
              <w:rPr>
                <w:rFonts w:ascii="仿宋_GB2312" w:eastAsia="仿宋_GB2312" w:hAnsi="仿宋" w:cs="宋体" w:hint="eastAsia"/>
                <w:kern w:val="0"/>
                <w:sz w:val="24"/>
              </w:rPr>
              <w:br/>
              <w:t>二、相关依据《湖北省关于农作物种子生产经营活动监督管理的暂行规定》第五条 县以上人民政府农业行政主管部门负责本行政区域内的种子监督管理工作。具体工作由农业行政主管部门所属的种子管理机构负责。</w:t>
            </w:r>
          </w:p>
        </w:tc>
      </w:tr>
      <w:tr w:rsidR="00F26DA6" w:rsidRPr="00F26DA6" w:rsidTr="008E747A">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承办机构</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西塞山区农林水利局</w:t>
            </w:r>
          </w:p>
        </w:tc>
      </w:tr>
      <w:tr w:rsidR="00F26DA6" w:rsidRPr="00F26DA6" w:rsidTr="008E747A">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咨询方式</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0714-6482289</w:t>
            </w:r>
          </w:p>
        </w:tc>
      </w:tr>
      <w:tr w:rsidR="00F26DA6" w:rsidRPr="00F26DA6" w:rsidTr="008E747A">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监督投诉方式</w:t>
            </w:r>
          </w:p>
        </w:tc>
        <w:tc>
          <w:tcPr>
            <w:tcW w:w="7002" w:type="dxa"/>
            <w:tcBorders>
              <w:top w:val="single" w:sz="4" w:space="0" w:color="auto"/>
              <w:left w:val="nil"/>
              <w:bottom w:val="single" w:sz="4" w:space="0" w:color="auto"/>
              <w:right w:val="single" w:sz="4" w:space="0" w:color="auto"/>
            </w:tcBorders>
            <w:shd w:val="clear" w:color="auto" w:fill="auto"/>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0714-6482862</w:t>
            </w:r>
          </w:p>
        </w:tc>
      </w:tr>
      <w:tr w:rsidR="00F26DA6" w:rsidRPr="00F26DA6" w:rsidTr="008E747A">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审核意见</w:t>
            </w:r>
          </w:p>
        </w:tc>
        <w:tc>
          <w:tcPr>
            <w:tcW w:w="7002" w:type="dxa"/>
            <w:tcBorders>
              <w:top w:val="single" w:sz="4" w:space="0" w:color="auto"/>
              <w:left w:val="nil"/>
              <w:bottom w:val="single" w:sz="4" w:space="0" w:color="auto"/>
              <w:right w:val="single" w:sz="4" w:space="0" w:color="auto"/>
            </w:tcBorders>
            <w:shd w:val="clear" w:color="auto" w:fill="auto"/>
            <w:noWrap/>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（由审改办统一填写）</w:t>
            </w:r>
          </w:p>
        </w:tc>
      </w:tr>
      <w:tr w:rsidR="00F26DA6" w:rsidRPr="00F26DA6" w:rsidTr="008E747A">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A6" w:rsidRPr="00F26DA6" w:rsidRDefault="00F26DA6" w:rsidP="00F26DA6">
            <w:pPr>
              <w:widowControl/>
              <w:jc w:val="center"/>
              <w:rPr>
                <w:rFonts w:ascii="黑体" w:eastAsia="黑体" w:hAnsi="黑体" w:cs="宋体"/>
                <w:kern w:val="0"/>
                <w:sz w:val="24"/>
              </w:rPr>
            </w:pPr>
            <w:r w:rsidRPr="00F26DA6">
              <w:rPr>
                <w:rFonts w:ascii="黑体" w:eastAsia="黑体" w:hAnsi="黑体" w:cs="宋体" w:hint="eastAsia"/>
                <w:kern w:val="0"/>
                <w:sz w:val="24"/>
              </w:rPr>
              <w:t>备注</w:t>
            </w:r>
          </w:p>
        </w:tc>
        <w:tc>
          <w:tcPr>
            <w:tcW w:w="7002" w:type="dxa"/>
            <w:tcBorders>
              <w:top w:val="single" w:sz="4" w:space="0" w:color="auto"/>
              <w:left w:val="nil"/>
              <w:bottom w:val="single" w:sz="4" w:space="0" w:color="auto"/>
              <w:right w:val="single" w:sz="4" w:space="0" w:color="auto"/>
            </w:tcBorders>
            <w:shd w:val="clear" w:color="auto" w:fill="auto"/>
            <w:noWrap/>
            <w:vAlign w:val="center"/>
            <w:hideMark/>
          </w:tcPr>
          <w:p w:rsidR="00F26DA6" w:rsidRPr="008F1F0A" w:rsidRDefault="00F26DA6" w:rsidP="00F26DA6">
            <w:pPr>
              <w:widowControl/>
              <w:jc w:val="left"/>
              <w:rPr>
                <w:rFonts w:ascii="仿宋_GB2312" w:eastAsia="仿宋_GB2312" w:hAnsi="仿宋" w:cs="宋体"/>
                <w:kern w:val="0"/>
                <w:sz w:val="24"/>
              </w:rPr>
            </w:pPr>
            <w:r w:rsidRPr="008F1F0A">
              <w:rPr>
                <w:rFonts w:ascii="仿宋_GB2312" w:eastAsia="仿宋_GB2312" w:hAnsi="仿宋" w:cs="宋体" w:hint="eastAsia"/>
                <w:kern w:val="0"/>
                <w:sz w:val="24"/>
              </w:rPr>
              <w:t xml:space="preserve">　</w:t>
            </w:r>
          </w:p>
        </w:tc>
      </w:tr>
    </w:tbl>
    <w:p w:rsidR="008E747A" w:rsidRDefault="008E747A">
      <w:pPr>
        <w:rPr>
          <w:rFonts w:ascii="仿宋_GB2312" w:eastAsia="仿宋_GB2312" w:hAnsi="仿宋" w:cs="宋体" w:hint="eastAsia"/>
          <w:kern w:val="0"/>
          <w:sz w:val="32"/>
          <w:szCs w:val="32"/>
        </w:rPr>
      </w:pPr>
    </w:p>
    <w:p w:rsidR="008E747A" w:rsidRDefault="008E747A">
      <w:pPr>
        <w:rPr>
          <w:rFonts w:ascii="仿宋_GB2312" w:eastAsia="仿宋_GB2312" w:hAnsi="仿宋" w:cs="宋体" w:hint="eastAsia"/>
          <w:kern w:val="0"/>
          <w:sz w:val="32"/>
          <w:szCs w:val="32"/>
        </w:rPr>
      </w:pPr>
    </w:p>
    <w:p w:rsidR="008E747A" w:rsidRDefault="008E747A">
      <w:pPr>
        <w:rPr>
          <w:rFonts w:ascii="仿宋_GB2312" w:eastAsia="仿宋_GB2312" w:hAnsi="仿宋" w:cs="宋体" w:hint="eastAsia"/>
          <w:kern w:val="0"/>
          <w:sz w:val="32"/>
          <w:szCs w:val="32"/>
        </w:rPr>
      </w:pPr>
    </w:p>
    <w:p w:rsidR="008E747A" w:rsidRDefault="008E747A">
      <w:pPr>
        <w:rPr>
          <w:rFonts w:ascii="仿宋_GB2312" w:eastAsia="仿宋_GB2312" w:hAnsi="仿宋" w:cs="宋体" w:hint="eastAsia"/>
          <w:kern w:val="0"/>
          <w:sz w:val="32"/>
          <w:szCs w:val="32"/>
        </w:rPr>
      </w:pPr>
    </w:p>
    <w:p w:rsidR="006D3F2B" w:rsidRPr="008E747A" w:rsidRDefault="008E747A">
      <w:pPr>
        <w:rPr>
          <w:sz w:val="32"/>
          <w:szCs w:val="32"/>
        </w:rPr>
      </w:pPr>
      <w:r w:rsidRPr="008E747A">
        <w:rPr>
          <w:rFonts w:ascii="仿宋_GB2312" w:eastAsia="仿宋_GB2312" w:hAnsi="仿宋" w:cs="宋体" w:hint="eastAsia"/>
          <w:kern w:val="0"/>
          <w:sz w:val="32"/>
          <w:szCs w:val="32"/>
        </w:rPr>
        <w:lastRenderedPageBreak/>
        <w:t>对逃避、拒绝种子监督管理人员进行检查行为的处罚流程图</w:t>
      </w:r>
    </w:p>
    <w:p w:rsidR="006D3F2B" w:rsidRDefault="00A037F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1.1pt;margin-top:15.6pt;width:425.05pt;height:578.3pt;z-index:1;visibility:visible">
            <v:imagedata r:id="rId6" o:title=""/>
            <w10:wrap type="square"/>
          </v:shape>
        </w:pict>
      </w:r>
    </w:p>
    <w:sectPr w:rsidR="006D3F2B" w:rsidSect="00C409F8">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CB2" w:rsidRDefault="00225CB2" w:rsidP="008F1F0A">
      <w:r>
        <w:separator/>
      </w:r>
    </w:p>
  </w:endnote>
  <w:endnote w:type="continuationSeparator" w:id="0">
    <w:p w:rsidR="00225CB2" w:rsidRDefault="00225CB2" w:rsidP="008F1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CB2" w:rsidRDefault="00225CB2" w:rsidP="008F1F0A">
      <w:r>
        <w:separator/>
      </w:r>
    </w:p>
  </w:footnote>
  <w:footnote w:type="continuationSeparator" w:id="0">
    <w:p w:rsidR="00225CB2" w:rsidRDefault="00225CB2" w:rsidP="008F1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9F8"/>
    <w:rsid w:val="00112937"/>
    <w:rsid w:val="0019223A"/>
    <w:rsid w:val="00206ABD"/>
    <w:rsid w:val="00225CB2"/>
    <w:rsid w:val="0068301C"/>
    <w:rsid w:val="00683727"/>
    <w:rsid w:val="006D3F2B"/>
    <w:rsid w:val="008E747A"/>
    <w:rsid w:val="008F1F0A"/>
    <w:rsid w:val="00934530"/>
    <w:rsid w:val="00A037F3"/>
    <w:rsid w:val="00A0520F"/>
    <w:rsid w:val="00A9297B"/>
    <w:rsid w:val="00B60FCE"/>
    <w:rsid w:val="00C409F8"/>
    <w:rsid w:val="00E74ABC"/>
    <w:rsid w:val="00F26DA6"/>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1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1F0A"/>
    <w:rPr>
      <w:sz w:val="18"/>
      <w:szCs w:val="18"/>
    </w:rPr>
  </w:style>
  <w:style w:type="paragraph" w:styleId="a4">
    <w:name w:val="footer"/>
    <w:basedOn w:val="a"/>
    <w:link w:val="Char0"/>
    <w:uiPriority w:val="99"/>
    <w:semiHidden/>
    <w:unhideWhenUsed/>
    <w:rsid w:val="008F1F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1F0A"/>
    <w:rPr>
      <w:sz w:val="18"/>
      <w:szCs w:val="18"/>
    </w:rPr>
  </w:style>
</w:styles>
</file>

<file path=word/webSettings.xml><?xml version="1.0" encoding="utf-8"?>
<w:webSettings xmlns:r="http://schemas.openxmlformats.org/officeDocument/2006/relationships" xmlns:w="http://schemas.openxmlformats.org/wordprocessingml/2006/main">
  <w:divs>
    <w:div w:id="18036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Administrator</cp:lastModifiedBy>
  <cp:revision>9</cp:revision>
  <cp:lastPrinted>2016-06-19T10:13:00Z</cp:lastPrinted>
  <dcterms:created xsi:type="dcterms:W3CDTF">2014-10-29T12:08:00Z</dcterms:created>
  <dcterms:modified xsi:type="dcterms:W3CDTF">2016-06-24T04:24:00Z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